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F2D9" w14:textId="4424F096" w:rsidR="00EE24A0" w:rsidRPr="00EE24A0" w:rsidRDefault="00EE24A0" w:rsidP="00EE24A0">
      <w:pPr>
        <w:spacing w:after="100" w:afterAutospacing="1"/>
        <w:rPr>
          <w:rFonts w:eastAsia="Times New Roman" w:cstheme="minorHAnsi"/>
          <w:b/>
          <w:bCs/>
          <w:color w:val="212721"/>
          <w:sz w:val="22"/>
          <w:lang w:eastAsia="en-GB"/>
        </w:rPr>
      </w:pPr>
      <w:r w:rsidRPr="00EE24A0">
        <w:rPr>
          <w:rFonts w:eastAsia="Times New Roman" w:cstheme="minorHAnsi"/>
          <w:b/>
          <w:bCs/>
          <w:color w:val="000000"/>
          <w:sz w:val="22"/>
          <w:lang w:eastAsia="en-GB"/>
        </w:rPr>
        <w:t xml:space="preserve">30 May </w:t>
      </w:r>
      <w:r w:rsidRPr="00EE24A0">
        <w:rPr>
          <w:rFonts w:eastAsia="Times New Roman" w:cstheme="minorHAnsi"/>
          <w:b/>
          <w:bCs/>
          <w:color w:val="000000"/>
          <w:sz w:val="22"/>
          <w:lang w:eastAsia="en-GB"/>
        </w:rPr>
        <w:t>202</w:t>
      </w:r>
      <w:r w:rsidRPr="00EE24A0">
        <w:rPr>
          <w:rFonts w:eastAsia="Times New Roman" w:cstheme="minorHAnsi"/>
          <w:b/>
          <w:bCs/>
          <w:color w:val="000000"/>
          <w:sz w:val="22"/>
          <w:lang w:eastAsia="en-GB"/>
        </w:rPr>
        <w:t>3</w:t>
      </w:r>
    </w:p>
    <w:p w14:paraId="5F7660CC" w14:textId="77777777" w:rsidR="00EE24A0" w:rsidRPr="00EE24A0" w:rsidRDefault="00EE24A0" w:rsidP="00EE24A0">
      <w:pPr>
        <w:spacing w:after="100" w:afterAutospacing="1"/>
        <w:rPr>
          <w:rFonts w:eastAsia="Times New Roman" w:cstheme="minorHAnsi"/>
          <w:color w:val="212721"/>
          <w:sz w:val="22"/>
          <w:lang w:eastAsia="en-GB"/>
        </w:rPr>
      </w:pPr>
      <w:r w:rsidRPr="00EE24A0">
        <w:rPr>
          <w:rFonts w:eastAsia="Times New Roman" w:cstheme="minorHAnsi"/>
          <w:b/>
          <w:bCs/>
          <w:color w:val="212721"/>
          <w:sz w:val="22"/>
          <w:lang w:eastAsia="en-GB"/>
        </w:rPr>
        <w:t>For Immediate Release</w:t>
      </w:r>
    </w:p>
    <w:p w14:paraId="5B6C5696" w14:textId="77777777" w:rsidR="00EE24A0" w:rsidRPr="00EE24A0" w:rsidRDefault="00EE24A0" w:rsidP="00EE24A0">
      <w:pPr>
        <w:spacing w:after="100" w:afterAutospacing="1"/>
        <w:jc w:val="center"/>
        <w:rPr>
          <w:rFonts w:eastAsia="Times New Roman" w:cstheme="minorHAnsi"/>
          <w:color w:val="212721"/>
          <w:sz w:val="22"/>
          <w:lang w:eastAsia="en-GB"/>
        </w:rPr>
      </w:pPr>
      <w:r w:rsidRPr="00EE24A0">
        <w:rPr>
          <w:rFonts w:eastAsia="Times New Roman" w:cstheme="minorHAnsi"/>
          <w:b/>
          <w:bCs/>
          <w:color w:val="212721"/>
          <w:sz w:val="22"/>
          <w:lang w:eastAsia="en-GB"/>
        </w:rPr>
        <w:t>Mining, Minerals &amp; Metals plc</w:t>
      </w:r>
    </w:p>
    <w:p w14:paraId="6642A895" w14:textId="62149291" w:rsidR="00EE24A0" w:rsidRPr="00EE24A0" w:rsidRDefault="00EE24A0" w:rsidP="00EE24A0">
      <w:pPr>
        <w:spacing w:after="100" w:afterAutospacing="1"/>
        <w:jc w:val="center"/>
        <w:rPr>
          <w:rFonts w:eastAsia="Times New Roman" w:cstheme="minorHAnsi"/>
          <w:b/>
          <w:bCs/>
          <w:color w:val="212721"/>
          <w:sz w:val="22"/>
          <w:lang w:eastAsia="en-GB"/>
        </w:rPr>
      </w:pPr>
      <w:r>
        <w:rPr>
          <w:rFonts w:eastAsia="Times New Roman" w:cstheme="minorHAnsi"/>
          <w:b/>
          <w:bCs/>
          <w:color w:val="212721"/>
          <w:sz w:val="22"/>
          <w:lang w:eastAsia="en-GB"/>
        </w:rPr>
        <w:t xml:space="preserve">Annual Report and Financial Statements </w:t>
      </w:r>
    </w:p>
    <w:p w14:paraId="20FA6BD7" w14:textId="77777777" w:rsidR="00EE24A0" w:rsidRPr="00EE24A0" w:rsidRDefault="00EE24A0" w:rsidP="00EE24A0">
      <w:pPr>
        <w:autoSpaceDE w:val="0"/>
        <w:spacing w:after="240"/>
        <w:rPr>
          <w:rFonts w:ascii="Calibri" w:eastAsia="Calibri" w:hAnsi="Calibri" w:cs="Arial"/>
          <w:kern w:val="0"/>
          <w:sz w:val="22"/>
          <w:lang w:eastAsia="en-GB"/>
        </w:rPr>
      </w:pPr>
      <w:r w:rsidRPr="00EE24A0">
        <w:rPr>
          <w:rFonts w:ascii="Calibri" w:eastAsia="Calibri" w:hAnsi="Calibri" w:cs="Arial"/>
          <w:kern w:val="0"/>
          <w:sz w:val="22"/>
          <w:lang w:eastAsia="en-GB"/>
        </w:rPr>
        <w:t xml:space="preserve">Mining, Minerals &amp; Metals plc (“MMM” or the “Company”) presents its audited financial statements for the twelve months ended 31 January 2023 (“Financial Statements”) as extracted from the Company’s Annual Report which is now available on the Company website at </w:t>
      </w:r>
      <w:hyperlink w:history="1">
        <w:r w:rsidRPr="00EE24A0">
          <w:rPr>
            <w:rFonts w:ascii="Calibri" w:eastAsia="Calibri" w:hAnsi="Calibri"/>
            <w:kern w:val="0"/>
            <w:sz w:val="22"/>
          </w:rPr>
          <w:t xml:space="preserve">www.mmmplc.com </w:t>
        </w:r>
      </w:hyperlink>
      <w:r w:rsidRPr="00EE24A0">
        <w:rPr>
          <w:rFonts w:ascii="Calibri" w:eastAsia="Calibri" w:hAnsi="Calibri" w:cs="Arial"/>
          <w:kern w:val="0"/>
          <w:sz w:val="22"/>
          <w:lang w:eastAsia="en-GB"/>
        </w:rPr>
        <w:t xml:space="preserve"> and will be provided to shareholders who have requested a printed or electronic copy.  </w:t>
      </w:r>
    </w:p>
    <w:p w14:paraId="7DE0FD96" w14:textId="77777777" w:rsidR="00EE24A0" w:rsidRPr="00EE24A0" w:rsidRDefault="00EE24A0" w:rsidP="00EE24A0">
      <w:pPr>
        <w:suppressAutoHyphens/>
        <w:autoSpaceDE w:val="0"/>
        <w:autoSpaceDN w:val="0"/>
        <w:adjustRightInd w:val="0"/>
        <w:spacing w:after="240"/>
        <w:rPr>
          <w:rFonts w:ascii="Calibri" w:eastAsia="Calibri" w:hAnsi="Calibri" w:cs="Arial"/>
          <w:kern w:val="0"/>
          <w:sz w:val="22"/>
          <w:lang w:eastAsia="en-GB"/>
        </w:rPr>
      </w:pPr>
      <w:r w:rsidRPr="00EE24A0">
        <w:rPr>
          <w:rFonts w:ascii="Calibri" w:eastAsia="Calibri" w:hAnsi="Calibri" w:cs="Arial"/>
          <w:kern w:val="0"/>
          <w:sz w:val="22"/>
          <w:lang w:eastAsia="en-GB"/>
        </w:rPr>
        <w:t xml:space="preserve">The Financial Statements are set out below and should be read in conjunction with the Report which contains the notes to the Financial Statements.  </w:t>
      </w:r>
    </w:p>
    <w:p w14:paraId="6C65EE8D" w14:textId="643AD926" w:rsidR="00EE24A0" w:rsidRPr="00EE24A0" w:rsidRDefault="00EE24A0" w:rsidP="00EE24A0">
      <w:pPr>
        <w:suppressAutoHyphens/>
        <w:autoSpaceDE w:val="0"/>
        <w:autoSpaceDN w:val="0"/>
        <w:spacing w:after="0"/>
        <w:textAlignment w:val="baseline"/>
        <w:rPr>
          <w:rFonts w:ascii="Segoe UI" w:eastAsia="Calibri" w:hAnsi="Segoe UI" w:cs="Segoe UI"/>
          <w:b/>
          <w:bCs/>
          <w:sz w:val="22"/>
        </w:rPr>
      </w:pPr>
      <w:r w:rsidRPr="00EE24A0">
        <w:rPr>
          <w:rFonts w:ascii="Segoe UI" w:eastAsia="Calibri" w:hAnsi="Segoe UI" w:cs="Segoe UI"/>
          <w:b/>
          <w:bCs/>
          <w:sz w:val="22"/>
        </w:rPr>
        <w:t>Further information</w:t>
      </w:r>
    </w:p>
    <w:p w14:paraId="1D7D94F4" w14:textId="77777777" w:rsidR="00EE24A0" w:rsidRPr="00EE24A0" w:rsidRDefault="00EE24A0" w:rsidP="00EE24A0">
      <w:pPr>
        <w:suppressAutoHyphens/>
        <w:autoSpaceDN w:val="0"/>
        <w:spacing w:after="100" w:afterAutospacing="1"/>
        <w:textAlignment w:val="baseline"/>
        <w:rPr>
          <w:rFonts w:ascii="Calibri" w:eastAsia="Calibri" w:hAnsi="Calibri" w:cs="Arial"/>
          <w:sz w:val="22"/>
          <w:lang w:eastAsia="en-GB"/>
        </w:rPr>
      </w:pPr>
      <w:r w:rsidRPr="00EE24A0">
        <w:rPr>
          <w:rFonts w:ascii="Calibri" w:eastAsia="Calibri" w:hAnsi="Calibri" w:cs="Arial"/>
          <w:sz w:val="22"/>
          <w:lang w:eastAsia="en-GB"/>
        </w:rPr>
        <w:t>For further information, please visit the Company's website: </w:t>
      </w:r>
      <w:hyperlink r:id="rId11" w:history="1">
        <w:r w:rsidRPr="00EE24A0">
          <w:rPr>
            <w:rFonts w:ascii="Calibri" w:eastAsia="Calibri" w:hAnsi="Calibri" w:cs="Arial"/>
            <w:color w:val="0000FF" w:themeColor="hyperlink"/>
            <w:sz w:val="22"/>
            <w:u w:val="single"/>
            <w:lang w:eastAsia="en-GB"/>
          </w:rPr>
          <w:t>www.mmmplc.com</w:t>
        </w:r>
      </w:hyperlink>
    </w:p>
    <w:p w14:paraId="75C826AF" w14:textId="49CCAA8C" w:rsidR="00EE24A0" w:rsidRPr="00EE24A0" w:rsidRDefault="00EE24A0" w:rsidP="00EE24A0">
      <w:pPr>
        <w:suppressAutoHyphens/>
        <w:autoSpaceDN w:val="0"/>
        <w:spacing w:after="100" w:afterAutospacing="1"/>
        <w:textAlignment w:val="baseline"/>
        <w:rPr>
          <w:rFonts w:ascii="Calibri" w:eastAsia="Calibri" w:hAnsi="Calibri" w:cs="Arial"/>
          <w:b/>
          <w:bCs/>
          <w:sz w:val="22"/>
          <w:lang w:eastAsia="en-GB"/>
        </w:rPr>
      </w:pPr>
      <w:r w:rsidRPr="00EE24A0">
        <w:rPr>
          <w:rFonts w:ascii="Calibri" w:eastAsia="Calibri" w:hAnsi="Calibri" w:cs="Arial"/>
          <w:b/>
          <w:bCs/>
          <w:sz w:val="22"/>
          <w:lang w:eastAsia="en-GB"/>
        </w:rPr>
        <w:t xml:space="preserve">- Ends- </w:t>
      </w:r>
    </w:p>
    <w:p w14:paraId="1A8103CF" w14:textId="77777777" w:rsidR="00EE24A0" w:rsidRPr="00EE24A0" w:rsidRDefault="00EE24A0" w:rsidP="00EE24A0">
      <w:pPr>
        <w:suppressAutoHyphens/>
        <w:autoSpaceDE w:val="0"/>
        <w:autoSpaceDN w:val="0"/>
        <w:spacing w:after="0"/>
        <w:textAlignment w:val="baseline"/>
        <w:rPr>
          <w:rFonts w:cstheme="minorHAnsi"/>
          <w:b/>
          <w:bCs/>
          <w:sz w:val="22"/>
        </w:rPr>
      </w:pPr>
      <w:r w:rsidRPr="00EE24A0">
        <w:rPr>
          <w:rFonts w:cstheme="minorHAnsi"/>
          <w:b/>
          <w:bCs/>
          <w:sz w:val="22"/>
        </w:rPr>
        <w:t>Roy Pitchford</w:t>
      </w:r>
    </w:p>
    <w:p w14:paraId="627BD5F8" w14:textId="77777777" w:rsidR="00EE24A0" w:rsidRPr="00EE24A0" w:rsidRDefault="00EE24A0" w:rsidP="00EE24A0">
      <w:pPr>
        <w:autoSpaceDE w:val="0"/>
        <w:spacing w:after="0"/>
        <w:rPr>
          <w:rFonts w:cstheme="minorHAnsi"/>
          <w:sz w:val="22"/>
        </w:rPr>
      </w:pPr>
      <w:r w:rsidRPr="00EE24A0">
        <w:rPr>
          <w:rFonts w:cstheme="minorHAnsi"/>
          <w:sz w:val="22"/>
        </w:rPr>
        <w:t>Non-Executive Chairman, Mining, Minerals &amp; Metals plc</w:t>
      </w:r>
    </w:p>
    <w:p w14:paraId="43CC66A8" w14:textId="77777777" w:rsidR="00EE24A0" w:rsidRPr="00EE24A0" w:rsidRDefault="00EE24A0" w:rsidP="00EE24A0">
      <w:pPr>
        <w:autoSpaceDE w:val="0"/>
        <w:spacing w:after="0"/>
        <w:rPr>
          <w:rFonts w:cstheme="minorHAnsi"/>
          <w:sz w:val="22"/>
        </w:rPr>
      </w:pPr>
      <w:r w:rsidRPr="00EE24A0">
        <w:rPr>
          <w:rFonts w:cstheme="minorHAnsi"/>
          <w:sz w:val="22"/>
        </w:rPr>
        <w:t>Telephone +44 (0)20 7317 0644</w:t>
      </w:r>
    </w:p>
    <w:p w14:paraId="138B1386" w14:textId="77777777" w:rsidR="00EE24A0" w:rsidRPr="00EE24A0" w:rsidRDefault="00EE24A0" w:rsidP="00EE24A0">
      <w:pPr>
        <w:autoSpaceDE w:val="0"/>
        <w:spacing w:after="0"/>
        <w:rPr>
          <w:rStyle w:val="Hyperlink"/>
          <w:rFonts w:cstheme="minorHAnsi"/>
          <w:sz w:val="22"/>
        </w:rPr>
      </w:pPr>
      <w:r w:rsidRPr="00EE24A0">
        <w:rPr>
          <w:rFonts w:cstheme="minorHAnsi"/>
          <w:sz w:val="22"/>
        </w:rPr>
        <w:t>Email:</w:t>
      </w:r>
      <w:r w:rsidRPr="00EE24A0">
        <w:rPr>
          <w:rFonts w:ascii="Segoe UI" w:eastAsia="Calibri" w:hAnsi="Segoe UI" w:cs="Segoe UI"/>
          <w:sz w:val="22"/>
        </w:rPr>
        <w:t xml:space="preserve"> </w:t>
      </w:r>
      <w:hyperlink r:id="rId12" w:history="1">
        <w:r w:rsidRPr="00EE24A0">
          <w:rPr>
            <w:rStyle w:val="Hyperlink"/>
            <w:rFonts w:cstheme="minorHAnsi"/>
            <w:sz w:val="22"/>
          </w:rPr>
          <w:t>roy@mmmplc.com</w:t>
        </w:r>
      </w:hyperlink>
    </w:p>
    <w:p w14:paraId="5978C303" w14:textId="77777777" w:rsidR="00EE24A0" w:rsidRPr="00EE24A0" w:rsidRDefault="00EE24A0" w:rsidP="00EE24A0">
      <w:pPr>
        <w:autoSpaceDE w:val="0"/>
        <w:spacing w:after="0"/>
        <w:rPr>
          <w:rFonts w:cstheme="minorHAnsi"/>
          <w:b/>
          <w:bCs/>
          <w:sz w:val="22"/>
        </w:rPr>
      </w:pPr>
      <w:proofErr w:type="spellStart"/>
      <w:r w:rsidRPr="00EE24A0">
        <w:rPr>
          <w:rFonts w:cstheme="minorHAnsi"/>
          <w:b/>
          <w:bCs/>
          <w:sz w:val="22"/>
        </w:rPr>
        <w:t>Tavira</w:t>
      </w:r>
      <w:proofErr w:type="spellEnd"/>
      <w:r w:rsidRPr="00EE24A0">
        <w:rPr>
          <w:rFonts w:cstheme="minorHAnsi"/>
          <w:b/>
          <w:bCs/>
          <w:sz w:val="22"/>
        </w:rPr>
        <w:t xml:space="preserve"> Financial Limited – Financial Adviser and Broker</w:t>
      </w:r>
    </w:p>
    <w:p w14:paraId="08DE20EF" w14:textId="77777777" w:rsidR="00EE24A0" w:rsidRPr="00EE24A0" w:rsidRDefault="00EE24A0" w:rsidP="00EE24A0">
      <w:pPr>
        <w:autoSpaceDE w:val="0"/>
        <w:spacing w:after="0"/>
        <w:rPr>
          <w:rFonts w:cstheme="minorHAnsi"/>
          <w:sz w:val="22"/>
        </w:rPr>
      </w:pPr>
      <w:r w:rsidRPr="00EE24A0">
        <w:rPr>
          <w:rFonts w:cstheme="minorHAnsi"/>
          <w:sz w:val="22"/>
        </w:rPr>
        <w:t xml:space="preserve">Jonathan Evans </w:t>
      </w:r>
    </w:p>
    <w:p w14:paraId="4CA2384E" w14:textId="77777777" w:rsidR="00EE24A0" w:rsidRPr="00EE24A0" w:rsidRDefault="00EE24A0" w:rsidP="00EE24A0">
      <w:pPr>
        <w:autoSpaceDE w:val="0"/>
        <w:spacing w:after="0"/>
        <w:rPr>
          <w:rFonts w:cstheme="minorHAnsi"/>
          <w:sz w:val="22"/>
        </w:rPr>
      </w:pPr>
      <w:r w:rsidRPr="00EE24A0">
        <w:rPr>
          <w:rFonts w:cstheme="minorHAnsi"/>
          <w:sz w:val="22"/>
        </w:rPr>
        <w:t>Telephone: +44 (0)20 3192 1733</w:t>
      </w:r>
    </w:p>
    <w:p w14:paraId="0656ED1E" w14:textId="77777777" w:rsidR="00EE24A0" w:rsidRPr="00EE24A0" w:rsidRDefault="00EE24A0" w:rsidP="00EE24A0">
      <w:pPr>
        <w:autoSpaceDE w:val="0"/>
        <w:spacing w:after="0"/>
        <w:rPr>
          <w:rFonts w:cstheme="minorHAnsi"/>
          <w:color w:val="0000FF" w:themeColor="hyperlink"/>
          <w:sz w:val="22"/>
          <w:u w:val="single"/>
        </w:rPr>
      </w:pPr>
      <w:r w:rsidRPr="00EE24A0">
        <w:rPr>
          <w:rFonts w:cstheme="minorHAnsi"/>
          <w:sz w:val="22"/>
        </w:rPr>
        <w:t xml:space="preserve">Email:  </w:t>
      </w:r>
      <w:hyperlink r:id="rId13" w:history="1">
        <w:r w:rsidRPr="00EE24A0">
          <w:rPr>
            <w:rStyle w:val="Hyperlink"/>
            <w:rFonts w:cstheme="minorHAnsi"/>
            <w:sz w:val="22"/>
          </w:rPr>
          <w:t>jonathan.evans@tavira.group</w:t>
        </w:r>
      </w:hyperlink>
    </w:p>
    <w:p w14:paraId="4FD35723" w14:textId="77777777" w:rsidR="00EE24A0" w:rsidRPr="004C1096" w:rsidRDefault="00EE24A0" w:rsidP="00EE24A0">
      <w:pPr>
        <w:suppressAutoHyphens/>
        <w:autoSpaceDE w:val="0"/>
        <w:autoSpaceDN w:val="0"/>
        <w:spacing w:after="0"/>
        <w:textAlignment w:val="baseline"/>
        <w:rPr>
          <w:rFonts w:ascii="Segoe UI" w:eastAsia="Calibri" w:hAnsi="Segoe UI" w:cs="Segoe UI"/>
          <w:szCs w:val="20"/>
        </w:rPr>
      </w:pPr>
    </w:p>
    <w:p w14:paraId="38469219" w14:textId="77777777" w:rsidR="00EE24A0" w:rsidRDefault="00EE24A0" w:rsidP="00EE24A0">
      <w:pPr>
        <w:suppressAutoHyphens/>
        <w:autoSpaceDE w:val="0"/>
        <w:autoSpaceDN w:val="0"/>
        <w:spacing w:after="0"/>
        <w:textAlignment w:val="baseline"/>
        <w:rPr>
          <w:rFonts w:ascii="Segoe UI" w:eastAsia="Calibri" w:hAnsi="Segoe UI" w:cs="Segoe UI"/>
          <w:b/>
          <w:bCs/>
          <w:szCs w:val="20"/>
        </w:rPr>
      </w:pPr>
    </w:p>
    <w:p w14:paraId="79C2BF3D" w14:textId="5B17B9FA" w:rsidR="00EE24A0" w:rsidRPr="004C1096" w:rsidRDefault="00EE24A0" w:rsidP="00EE24A0">
      <w:pPr>
        <w:suppressAutoHyphens/>
        <w:autoSpaceDE w:val="0"/>
        <w:autoSpaceDN w:val="0"/>
        <w:spacing w:after="0"/>
        <w:textAlignment w:val="baseline"/>
        <w:rPr>
          <w:rFonts w:ascii="Segoe UI" w:eastAsia="Calibri" w:hAnsi="Segoe UI" w:cs="Segoe UI"/>
          <w:b/>
          <w:bCs/>
          <w:szCs w:val="20"/>
        </w:rPr>
      </w:pPr>
      <w:r w:rsidRPr="004C1096">
        <w:rPr>
          <w:rFonts w:ascii="Segoe UI" w:eastAsia="Calibri" w:hAnsi="Segoe UI" w:cs="Segoe UI"/>
          <w:b/>
          <w:bCs/>
          <w:szCs w:val="20"/>
        </w:rPr>
        <w:t>Notes to Editors</w:t>
      </w:r>
    </w:p>
    <w:p w14:paraId="3F2F8C15" w14:textId="77777777" w:rsidR="00EE24A0" w:rsidRPr="00EE24A0" w:rsidRDefault="00EE24A0" w:rsidP="00EE24A0">
      <w:pPr>
        <w:spacing w:after="0"/>
        <w:rPr>
          <w:rFonts w:ascii="Calibri" w:eastAsia="Calibri" w:hAnsi="Calibri"/>
          <w:sz w:val="22"/>
        </w:rPr>
      </w:pPr>
      <w:r w:rsidRPr="00EE24A0">
        <w:rPr>
          <w:rFonts w:ascii="Calibri" w:eastAsia="Calibri" w:hAnsi="Calibri" w:cs="Arial"/>
          <w:sz w:val="22"/>
          <w:lang w:eastAsia="en-GB"/>
        </w:rPr>
        <w:t xml:space="preserve">Mining, Minerals &amp; Metals plc </w:t>
      </w:r>
      <w:r w:rsidRPr="00EE24A0">
        <w:rPr>
          <w:rFonts w:ascii="Calibri" w:eastAsia="Calibri" w:hAnsi="Calibri"/>
          <w:sz w:val="22"/>
        </w:rPr>
        <w:t>was established as a special purpose acquisition company to undertake an acquisition of one or more businesses (either shares or assets) that has operations involved in natural resources exploitation that it will then look to develop and expand. The directors of MMM have established a network of contacts internationally within the sector and will utilise independent third parties to provide expert advice where necessary.</w:t>
      </w:r>
    </w:p>
    <w:p w14:paraId="1E1DE476" w14:textId="77777777" w:rsidR="00EE24A0" w:rsidRDefault="00EE24A0" w:rsidP="00EE24A0">
      <w:pPr>
        <w:suppressAutoHyphens/>
        <w:autoSpaceDE w:val="0"/>
        <w:autoSpaceDN w:val="0"/>
        <w:adjustRightInd w:val="0"/>
        <w:spacing w:after="0" w:line="276" w:lineRule="auto"/>
        <w:textAlignment w:val="baseline"/>
        <w:rPr>
          <w:rFonts w:ascii="Segoe UI" w:eastAsia="Calibri" w:hAnsi="Segoe UI" w:cs="Segoe UI"/>
          <w:b/>
          <w:bCs/>
          <w:szCs w:val="20"/>
        </w:rPr>
      </w:pPr>
    </w:p>
    <w:p w14:paraId="7BD24CBE" w14:textId="77777777" w:rsidR="00EE24A0" w:rsidRPr="004C1096" w:rsidRDefault="00EE24A0" w:rsidP="00EE24A0">
      <w:pPr>
        <w:suppressAutoHyphens/>
        <w:autoSpaceDE w:val="0"/>
        <w:autoSpaceDN w:val="0"/>
        <w:adjustRightInd w:val="0"/>
        <w:spacing w:after="0" w:line="276" w:lineRule="auto"/>
        <w:textAlignment w:val="baseline"/>
        <w:rPr>
          <w:rFonts w:ascii="Segoe UI" w:eastAsia="Calibri" w:hAnsi="Segoe UI" w:cs="Segoe UI"/>
          <w:b/>
          <w:bCs/>
          <w:szCs w:val="20"/>
        </w:rPr>
      </w:pPr>
      <w:r w:rsidRPr="004C1096">
        <w:rPr>
          <w:rFonts w:ascii="Segoe UI" w:eastAsia="Calibri" w:hAnsi="Segoe UI" w:cs="Segoe UI"/>
          <w:b/>
          <w:bCs/>
          <w:szCs w:val="20"/>
        </w:rPr>
        <w:t>Forward Looking Statements</w:t>
      </w:r>
    </w:p>
    <w:p w14:paraId="4DD718F9" w14:textId="77777777" w:rsidR="00EE24A0" w:rsidRPr="004C1096" w:rsidRDefault="00EE24A0" w:rsidP="00EE24A0">
      <w:pPr>
        <w:suppressAutoHyphens/>
        <w:autoSpaceDE w:val="0"/>
        <w:autoSpaceDN w:val="0"/>
        <w:adjustRightInd w:val="0"/>
        <w:spacing w:after="0"/>
        <w:textAlignment w:val="baseline"/>
        <w:rPr>
          <w:rFonts w:ascii="Calibri" w:eastAsia="Calibri" w:hAnsi="Calibri" w:cs="Arial"/>
          <w:szCs w:val="20"/>
          <w:lang w:eastAsia="en-GB"/>
        </w:rPr>
      </w:pPr>
      <w:r w:rsidRPr="004C1096">
        <w:rPr>
          <w:rFonts w:ascii="Calibri" w:eastAsia="Calibri" w:hAnsi="Calibri" w:cs="Arial"/>
          <w:szCs w:val="20"/>
          <w:lang w:eastAsia="en-GB"/>
        </w:rPr>
        <w:t xml:space="preserve">Certain statements in this announcement are or may be deemed to be forward looking statements. Forward looking statements are identiﬁed by their use of terms and phrases such as ‘‘believe’’ ‘‘could’’ “should” ‘‘envisage’’ ‘‘estimate’’ ‘‘intend’’ ‘‘may’’ ‘‘plan’’ ‘‘will’’ or the negative of those variations or comparable </w:t>
      </w:r>
      <w:r w:rsidRPr="004C1096">
        <w:rPr>
          <w:rFonts w:ascii="Calibri" w:eastAsia="Calibri" w:hAnsi="Calibri" w:cs="Arial"/>
          <w:szCs w:val="20"/>
          <w:lang w:eastAsia="en-GB"/>
        </w:rPr>
        <w:lastRenderedPageBreak/>
        <w:t>expressions including references to assumptions. These forward-looking statements are not based on historical facts but rather on the Directors’ current expectations and assumptions regarding the Company’s future growth results of operations performance future capital and other expenditures (including the amount</w:t>
      </w:r>
      <w:r>
        <w:rPr>
          <w:rFonts w:ascii="Calibri" w:eastAsia="Calibri" w:hAnsi="Calibri" w:cs="Arial"/>
          <w:szCs w:val="20"/>
          <w:lang w:eastAsia="en-GB"/>
        </w:rPr>
        <w:t>,</w:t>
      </w:r>
      <w:r w:rsidRPr="004C1096">
        <w:rPr>
          <w:rFonts w:ascii="Calibri" w:eastAsia="Calibri" w:hAnsi="Calibri" w:cs="Arial"/>
          <w:szCs w:val="20"/>
          <w:lang w:eastAsia="en-GB"/>
        </w:rPr>
        <w:t xml:space="preserve"> </w:t>
      </w:r>
      <w:proofErr w:type="gramStart"/>
      <w:r w:rsidRPr="004C1096">
        <w:rPr>
          <w:rFonts w:ascii="Calibri" w:eastAsia="Calibri" w:hAnsi="Calibri" w:cs="Arial"/>
          <w:szCs w:val="20"/>
          <w:lang w:eastAsia="en-GB"/>
        </w:rPr>
        <w:t>nature</w:t>
      </w:r>
      <w:proofErr w:type="gramEnd"/>
      <w:r w:rsidRPr="004C1096">
        <w:rPr>
          <w:rFonts w:ascii="Calibri" w:eastAsia="Calibri" w:hAnsi="Calibri" w:cs="Arial"/>
          <w:szCs w:val="20"/>
          <w:lang w:eastAsia="en-GB"/>
        </w:rPr>
        <w:t xml:space="preserve"> and sources of funding thereof) competitive advantages business prospects and opportunities. Such forward looking statements reﬂect the Directors’ current beliefs and assumptions and are based on information currently available to the Directors.  Many factors could cause actual results to differ materially from the results discussed in the forward-looking statements including risks associated with vulnerability to general economic and business conditions competition environmental and other regulatory changes actions by governmental authorities the availability of capital markets reliance on key personnel uninsured and underinsured losses and other factors many of which are beyond the control of the Company. Although any forward-looking statements contained in this announcement are based upon what the Directors believe to be reasonable assumptions. The Company cannot assure investors that actual results will be consistent with such forward looking statements. </w:t>
      </w:r>
    </w:p>
    <w:p w14:paraId="4FE5DD5A" w14:textId="77777777" w:rsidR="00EE24A0" w:rsidRPr="004C1096" w:rsidRDefault="00EE24A0" w:rsidP="00EE24A0">
      <w:pPr>
        <w:suppressAutoHyphens/>
        <w:autoSpaceDE w:val="0"/>
        <w:autoSpaceDN w:val="0"/>
        <w:spacing w:after="200"/>
        <w:textAlignment w:val="baseline"/>
        <w:rPr>
          <w:rFonts w:ascii="Calibri" w:eastAsia="Calibri" w:hAnsi="Calibri" w:cs="Arial"/>
          <w:lang w:eastAsia="en-GB"/>
        </w:rPr>
      </w:pPr>
    </w:p>
    <w:p w14:paraId="62D3BE86" w14:textId="77777777" w:rsidR="00592872" w:rsidRPr="00E514DB" w:rsidRDefault="00592872" w:rsidP="00890FE3">
      <w:pPr>
        <w:spacing w:after="0"/>
        <w:rPr>
          <w:rFonts w:cstheme="minorHAnsi"/>
          <w:b/>
          <w:szCs w:val="20"/>
        </w:rPr>
        <w:sectPr w:rsidR="00592872" w:rsidRPr="00E514DB" w:rsidSect="008D12EF">
          <w:footerReference w:type="default" r:id="rId14"/>
          <w:pgSz w:w="11906" w:h="16838"/>
          <w:pgMar w:top="1860" w:right="1440" w:bottom="1440" w:left="1440" w:header="844" w:footer="708" w:gutter="0"/>
          <w:pgNumType w:start="1"/>
          <w:cols w:space="708"/>
          <w:docGrid w:linePitch="360"/>
        </w:sectPr>
      </w:pPr>
    </w:p>
    <w:p w14:paraId="704109CC" w14:textId="77777777" w:rsidR="0074035B" w:rsidRPr="00D17658" w:rsidRDefault="0074035B" w:rsidP="00415C29">
      <w:pPr>
        <w:widowControl/>
        <w:spacing w:before="0" w:after="0"/>
        <w:jc w:val="left"/>
        <w:rPr>
          <w:rFonts w:cstheme="minorHAnsi"/>
          <w:b/>
          <w:bCs/>
          <w:szCs w:val="20"/>
        </w:rPr>
      </w:pPr>
      <w:r w:rsidRPr="00D17658">
        <w:rPr>
          <w:rFonts w:cstheme="minorHAnsi"/>
          <w:b/>
          <w:bCs/>
          <w:szCs w:val="20"/>
        </w:rPr>
        <w:lastRenderedPageBreak/>
        <w:t>CHAIRMAN’S STATEMENT</w:t>
      </w:r>
    </w:p>
    <w:p w14:paraId="0A21BF43" w14:textId="77777777" w:rsidR="0074035B" w:rsidRPr="00D17658" w:rsidRDefault="0074035B" w:rsidP="00415C29">
      <w:pPr>
        <w:widowControl/>
        <w:spacing w:before="0" w:after="0"/>
        <w:jc w:val="left"/>
        <w:rPr>
          <w:rFonts w:cs="Arial"/>
          <w:bCs/>
          <w:sz w:val="18"/>
          <w:szCs w:val="18"/>
          <w:lang w:eastAsia="en-GB"/>
        </w:rPr>
      </w:pPr>
    </w:p>
    <w:p w14:paraId="4BB33366" w14:textId="77777777" w:rsidR="00310418" w:rsidRPr="00D17658" w:rsidRDefault="00310418" w:rsidP="00310418">
      <w:pPr>
        <w:rPr>
          <w:rFonts w:cs="Arial"/>
          <w:sz w:val="18"/>
          <w:szCs w:val="18"/>
          <w:lang w:eastAsia="en-GB"/>
        </w:rPr>
      </w:pPr>
      <w:r w:rsidRPr="00D17658">
        <w:rPr>
          <w:rFonts w:cs="Arial"/>
          <w:sz w:val="18"/>
          <w:szCs w:val="18"/>
          <w:lang w:eastAsia="en-GB"/>
        </w:rPr>
        <w:t xml:space="preserve">I have pleasure in presenting </w:t>
      </w:r>
      <w:r w:rsidR="007738E6" w:rsidRPr="00D17658">
        <w:rPr>
          <w:rFonts w:cs="Arial"/>
          <w:sz w:val="18"/>
          <w:szCs w:val="18"/>
          <w:lang w:eastAsia="en-GB"/>
        </w:rPr>
        <w:t>the 202</w:t>
      </w:r>
      <w:r w:rsidR="00D17658">
        <w:rPr>
          <w:rFonts w:cs="Arial"/>
          <w:sz w:val="18"/>
          <w:szCs w:val="18"/>
          <w:lang w:eastAsia="en-GB"/>
        </w:rPr>
        <w:t>3</w:t>
      </w:r>
      <w:r w:rsidRPr="00D17658">
        <w:rPr>
          <w:rFonts w:cs="Arial"/>
          <w:sz w:val="18"/>
          <w:szCs w:val="18"/>
          <w:lang w:eastAsia="en-GB"/>
        </w:rPr>
        <w:t xml:space="preserve"> Annual Report</w:t>
      </w:r>
      <w:r w:rsidR="00AC679D" w:rsidRPr="00D17658">
        <w:rPr>
          <w:rFonts w:cs="Arial"/>
          <w:sz w:val="18"/>
          <w:szCs w:val="18"/>
          <w:lang w:eastAsia="en-GB"/>
        </w:rPr>
        <w:t xml:space="preserve"> and Accounts</w:t>
      </w:r>
      <w:r w:rsidR="007738E6" w:rsidRPr="00D17658">
        <w:rPr>
          <w:rFonts w:cs="Arial"/>
          <w:sz w:val="18"/>
          <w:szCs w:val="18"/>
          <w:lang w:eastAsia="en-GB"/>
        </w:rPr>
        <w:t xml:space="preserve"> of</w:t>
      </w:r>
      <w:r w:rsidRPr="00D17658">
        <w:rPr>
          <w:rFonts w:cs="Arial"/>
          <w:sz w:val="18"/>
          <w:szCs w:val="18"/>
          <w:lang w:eastAsia="en-GB"/>
        </w:rPr>
        <w:t xml:space="preserve"> </w:t>
      </w:r>
      <w:r w:rsidR="00FC017A" w:rsidRPr="00D17658">
        <w:rPr>
          <w:rFonts w:cs="Arial"/>
          <w:sz w:val="18"/>
          <w:szCs w:val="18"/>
          <w:lang w:eastAsia="en-GB"/>
        </w:rPr>
        <w:t>Mining, Minerals &amp; Metals</w:t>
      </w:r>
      <w:r w:rsidRPr="00D17658">
        <w:rPr>
          <w:rFonts w:cs="Arial"/>
          <w:sz w:val="18"/>
          <w:szCs w:val="18"/>
          <w:lang w:eastAsia="en-GB"/>
        </w:rPr>
        <w:t xml:space="preserve"> </w:t>
      </w:r>
      <w:r w:rsidR="00B41C72" w:rsidRPr="00D17658">
        <w:rPr>
          <w:rFonts w:cs="Arial"/>
          <w:sz w:val="18"/>
          <w:szCs w:val="18"/>
          <w:lang w:eastAsia="en-GB"/>
        </w:rPr>
        <w:t>P</w:t>
      </w:r>
      <w:r w:rsidRPr="00D17658">
        <w:rPr>
          <w:rFonts w:cs="Arial"/>
          <w:sz w:val="18"/>
          <w:szCs w:val="18"/>
          <w:lang w:eastAsia="en-GB"/>
        </w:rPr>
        <w:t>lc (the “Company”)</w:t>
      </w:r>
      <w:r w:rsidR="007738E6" w:rsidRPr="00D17658">
        <w:rPr>
          <w:rFonts w:cs="Arial"/>
          <w:sz w:val="18"/>
          <w:szCs w:val="18"/>
          <w:lang w:eastAsia="en-GB"/>
        </w:rPr>
        <w:t>.</w:t>
      </w:r>
      <w:r w:rsidRPr="00D17658">
        <w:rPr>
          <w:rFonts w:cs="Arial"/>
          <w:sz w:val="18"/>
          <w:szCs w:val="18"/>
          <w:lang w:eastAsia="en-GB"/>
        </w:rPr>
        <w:t xml:space="preserve"> </w:t>
      </w:r>
    </w:p>
    <w:p w14:paraId="34C7A387" w14:textId="77777777" w:rsidR="00310418" w:rsidRPr="00D17658" w:rsidRDefault="00592872" w:rsidP="00310418">
      <w:pPr>
        <w:pStyle w:val="Default"/>
        <w:jc w:val="both"/>
        <w:rPr>
          <w:rFonts w:asciiTheme="minorHAnsi" w:eastAsia="SimSun" w:hAnsiTheme="minorHAnsi"/>
          <w:color w:val="auto"/>
          <w:kern w:val="2"/>
          <w:sz w:val="18"/>
          <w:szCs w:val="18"/>
        </w:rPr>
      </w:pPr>
      <w:r w:rsidRPr="00D17658">
        <w:rPr>
          <w:rFonts w:asciiTheme="minorHAnsi" w:eastAsia="SimSun" w:hAnsiTheme="minorHAnsi"/>
          <w:color w:val="auto"/>
          <w:kern w:val="2"/>
          <w:sz w:val="18"/>
          <w:szCs w:val="18"/>
        </w:rPr>
        <w:t>The Company was formed</w:t>
      </w:r>
      <w:r w:rsidR="00310418" w:rsidRPr="00D17658">
        <w:rPr>
          <w:rFonts w:asciiTheme="minorHAnsi" w:eastAsia="SimSun" w:hAnsiTheme="minorHAnsi"/>
          <w:color w:val="auto"/>
          <w:kern w:val="2"/>
          <w:sz w:val="18"/>
          <w:szCs w:val="18"/>
        </w:rPr>
        <w:t xml:space="preserve"> to undertake the acquisition of a controlling interest in a business</w:t>
      </w:r>
      <w:r w:rsidR="00C46ED9" w:rsidRPr="00D17658">
        <w:rPr>
          <w:rFonts w:asciiTheme="minorHAnsi" w:eastAsia="SimSun" w:hAnsiTheme="minorHAnsi"/>
          <w:color w:val="auto"/>
          <w:kern w:val="2"/>
          <w:sz w:val="18"/>
          <w:szCs w:val="18"/>
        </w:rPr>
        <w:t xml:space="preserve"> (either shares or assets)</w:t>
      </w:r>
      <w:r w:rsidR="00310418" w:rsidRPr="00D17658">
        <w:rPr>
          <w:rFonts w:asciiTheme="minorHAnsi" w:eastAsia="SimSun" w:hAnsiTheme="minorHAnsi"/>
          <w:color w:val="auto"/>
          <w:kern w:val="2"/>
          <w:sz w:val="18"/>
          <w:szCs w:val="18"/>
        </w:rPr>
        <w:t xml:space="preserve"> </w:t>
      </w:r>
      <w:r w:rsidR="00C46ED9" w:rsidRPr="00D17658">
        <w:rPr>
          <w:rFonts w:asciiTheme="minorHAnsi" w:eastAsia="SimSun" w:hAnsiTheme="minorHAnsi"/>
          <w:color w:val="auto"/>
          <w:kern w:val="2"/>
          <w:sz w:val="18"/>
          <w:szCs w:val="18"/>
        </w:rPr>
        <w:t xml:space="preserve">that has operations </w:t>
      </w:r>
      <w:r w:rsidR="00310418" w:rsidRPr="00D17658">
        <w:rPr>
          <w:rFonts w:asciiTheme="minorHAnsi" w:eastAsia="SimSun" w:hAnsiTheme="minorHAnsi"/>
          <w:color w:val="auto"/>
          <w:kern w:val="2"/>
          <w:sz w:val="18"/>
          <w:szCs w:val="18"/>
        </w:rPr>
        <w:t xml:space="preserve">in the </w:t>
      </w:r>
      <w:r w:rsidR="00C46ED9" w:rsidRPr="00D17658">
        <w:rPr>
          <w:rFonts w:asciiTheme="minorHAnsi" w:eastAsia="SimSun" w:hAnsiTheme="minorHAnsi"/>
          <w:color w:val="auto"/>
          <w:kern w:val="2"/>
          <w:sz w:val="18"/>
          <w:szCs w:val="18"/>
        </w:rPr>
        <w:t>natural resources</w:t>
      </w:r>
      <w:r w:rsidR="00310418" w:rsidRPr="00D17658">
        <w:rPr>
          <w:rFonts w:asciiTheme="minorHAnsi" w:eastAsia="SimSun" w:hAnsiTheme="minorHAnsi"/>
          <w:color w:val="auto"/>
          <w:kern w:val="2"/>
          <w:sz w:val="18"/>
          <w:szCs w:val="18"/>
        </w:rPr>
        <w:t xml:space="preserve"> sector</w:t>
      </w:r>
      <w:r w:rsidR="00C46ED9" w:rsidRPr="00D17658">
        <w:rPr>
          <w:rFonts w:asciiTheme="minorHAnsi" w:eastAsia="SimSun" w:hAnsiTheme="minorHAnsi"/>
          <w:color w:val="auto"/>
          <w:kern w:val="2"/>
          <w:sz w:val="18"/>
          <w:szCs w:val="18"/>
        </w:rPr>
        <w:t xml:space="preserve"> (an “Acquisition”),</w:t>
      </w:r>
      <w:r w:rsidR="00310418" w:rsidRPr="00D17658">
        <w:rPr>
          <w:rFonts w:asciiTheme="minorHAnsi" w:eastAsia="SimSun" w:hAnsiTheme="minorHAnsi"/>
          <w:color w:val="auto"/>
          <w:kern w:val="2"/>
          <w:sz w:val="18"/>
          <w:szCs w:val="18"/>
        </w:rPr>
        <w:t xml:space="preserve"> reflecting the experience of the Company’s board of directors. </w:t>
      </w:r>
    </w:p>
    <w:p w14:paraId="69D932DB" w14:textId="77777777" w:rsidR="00C87842" w:rsidRPr="00C87842" w:rsidRDefault="00C87842" w:rsidP="00C87842">
      <w:pPr>
        <w:rPr>
          <w:rFonts w:cs="Arial"/>
          <w:sz w:val="18"/>
          <w:szCs w:val="18"/>
          <w:lang w:eastAsia="en-GB"/>
        </w:rPr>
      </w:pPr>
      <w:r w:rsidRPr="00C87842">
        <w:rPr>
          <w:rFonts w:cs="Arial"/>
          <w:sz w:val="18"/>
          <w:szCs w:val="18"/>
          <w:lang w:eastAsia="en-GB"/>
        </w:rPr>
        <w:t>On 7th October 2021 the Board of MMM announced that it was in early stage discussions and had entered into a non-binding term sheet with Africa Resources Holdings LLC (“ARH”) to acquire the entire issued share capital of Narnia Mauritius Gas Holdings Limited (“NMGH”), that will hold a ninety five percent (“95%”), interest in Inert Gas Industries (Proprietary) Limited (“IGI”), which in turn owns the Lindley Natural Gas Project (“LNGP”) exploration licences (the "Licences") situated in the Free State Province of South Africa (“The Proposed Transaction”).</w:t>
      </w:r>
    </w:p>
    <w:p w14:paraId="4C80D9F8" w14:textId="77777777" w:rsidR="00C87842" w:rsidRPr="00C87842" w:rsidRDefault="00C87842" w:rsidP="00C87842">
      <w:pPr>
        <w:rPr>
          <w:rFonts w:cs="Arial"/>
          <w:sz w:val="18"/>
          <w:szCs w:val="18"/>
          <w:lang w:eastAsia="en-GB"/>
        </w:rPr>
      </w:pPr>
      <w:r w:rsidRPr="00C87842">
        <w:rPr>
          <w:rFonts w:cs="Arial"/>
          <w:sz w:val="18"/>
          <w:szCs w:val="18"/>
          <w:lang w:eastAsia="en-GB"/>
        </w:rPr>
        <w:t xml:space="preserve">The Company has completed its commercial due diligence on LNGP including commissioning a Competent Persons Report on the Licences covering the LNGP. During this diligence process we became aware that the Licences had lapsed and were no longer in good standing. ARH, in conjunction with IGI, is currently collaborating with the South African mining authorities to renew the Licences. The likelihood of the renewal of the Licences cannot be guaranteed nor the timing forecast but it is reasonable to expect progress of the Proposed Transaction to be subject to further delay. This development has prevented the completion of the remaining conditions precedent to closing of the Proposed Transaction, namely, </w:t>
      </w:r>
      <w:r w:rsidR="009D2BBB">
        <w:rPr>
          <w:rFonts w:cs="Arial"/>
          <w:sz w:val="18"/>
          <w:szCs w:val="18"/>
          <w:lang w:eastAsia="en-GB"/>
        </w:rPr>
        <w:t>(</w:t>
      </w:r>
      <w:proofErr w:type="spellStart"/>
      <w:r w:rsidRPr="00C87842">
        <w:rPr>
          <w:rFonts w:cs="Arial"/>
          <w:sz w:val="18"/>
          <w:szCs w:val="18"/>
          <w:lang w:eastAsia="en-GB"/>
        </w:rPr>
        <w:t>i</w:t>
      </w:r>
      <w:proofErr w:type="spellEnd"/>
      <w:r w:rsidRPr="00C87842">
        <w:rPr>
          <w:rFonts w:cs="Arial"/>
          <w:sz w:val="18"/>
          <w:szCs w:val="18"/>
          <w:lang w:eastAsia="en-GB"/>
        </w:rPr>
        <w:t xml:space="preserve">) entering into definitive legal agreements </w:t>
      </w:r>
      <w:r w:rsidR="009D2BBB">
        <w:rPr>
          <w:rFonts w:cs="Arial"/>
          <w:sz w:val="18"/>
          <w:szCs w:val="18"/>
          <w:lang w:eastAsia="en-GB"/>
        </w:rPr>
        <w:t>(</w:t>
      </w:r>
      <w:r w:rsidRPr="00C87842">
        <w:rPr>
          <w:rFonts w:cs="Arial"/>
          <w:sz w:val="18"/>
          <w:szCs w:val="18"/>
          <w:lang w:eastAsia="en-GB"/>
        </w:rPr>
        <w:t xml:space="preserve">ii) raising further funds for the Proposed Transaction; </w:t>
      </w:r>
      <w:r w:rsidR="009D2BBB">
        <w:rPr>
          <w:rFonts w:cs="Arial"/>
          <w:sz w:val="18"/>
          <w:szCs w:val="18"/>
          <w:lang w:eastAsia="en-GB"/>
        </w:rPr>
        <w:t>(</w:t>
      </w:r>
      <w:r w:rsidRPr="00C87842">
        <w:rPr>
          <w:rFonts w:cs="Arial"/>
          <w:sz w:val="18"/>
          <w:szCs w:val="18"/>
          <w:lang w:eastAsia="en-GB"/>
        </w:rPr>
        <w:t xml:space="preserve">iii) approval by shareholders at a General Meeting to be convened; </w:t>
      </w:r>
      <w:r w:rsidR="009D2BBB">
        <w:rPr>
          <w:rFonts w:cs="Arial"/>
          <w:sz w:val="18"/>
          <w:szCs w:val="18"/>
          <w:lang w:eastAsia="en-GB"/>
        </w:rPr>
        <w:t>(</w:t>
      </w:r>
      <w:r w:rsidRPr="00C87842">
        <w:rPr>
          <w:rFonts w:cs="Arial"/>
          <w:sz w:val="18"/>
          <w:szCs w:val="18"/>
          <w:lang w:eastAsia="en-GB"/>
        </w:rPr>
        <w:t xml:space="preserve">iv) obtaining all necessary approvals (if required) and; </w:t>
      </w:r>
      <w:r w:rsidR="009D2BBB">
        <w:rPr>
          <w:rFonts w:cs="Arial"/>
          <w:sz w:val="18"/>
          <w:szCs w:val="18"/>
          <w:lang w:eastAsia="en-GB"/>
        </w:rPr>
        <w:t>(</w:t>
      </w:r>
      <w:r w:rsidRPr="00C87842">
        <w:rPr>
          <w:rFonts w:cs="Arial"/>
          <w:sz w:val="18"/>
          <w:szCs w:val="18"/>
          <w:lang w:eastAsia="en-GB"/>
        </w:rPr>
        <w:t xml:space="preserve">v) granting of eligibility for the readmission of the Company to the Official List by the FCA. </w:t>
      </w:r>
    </w:p>
    <w:p w14:paraId="0636D3D7" w14:textId="77777777" w:rsidR="00C87842" w:rsidRPr="00C87842" w:rsidRDefault="00C87842" w:rsidP="00C87842">
      <w:pPr>
        <w:rPr>
          <w:rFonts w:cs="Arial"/>
          <w:sz w:val="18"/>
          <w:szCs w:val="18"/>
          <w:lang w:eastAsia="en-GB"/>
        </w:rPr>
      </w:pPr>
      <w:r w:rsidRPr="00C87842">
        <w:rPr>
          <w:rFonts w:cs="Arial"/>
          <w:sz w:val="18"/>
          <w:szCs w:val="18"/>
          <w:lang w:eastAsia="en-GB"/>
        </w:rPr>
        <w:t>The Board of MMM remain of the view that the Proposed Transaction is an attractive opportunity to present to shareholders and believes it is in the interest of the Company and its shareholders to continue to move forward with ARH to acquire NMGH, IGI, and the LNGP.</w:t>
      </w:r>
    </w:p>
    <w:p w14:paraId="0069A34B" w14:textId="77777777" w:rsidR="00C87842" w:rsidRPr="00C87842" w:rsidRDefault="00C87842" w:rsidP="00C87842">
      <w:pPr>
        <w:rPr>
          <w:rFonts w:cs="Arial"/>
          <w:sz w:val="18"/>
          <w:szCs w:val="18"/>
          <w:lang w:eastAsia="en-GB"/>
        </w:rPr>
      </w:pPr>
      <w:r w:rsidRPr="00C87842">
        <w:rPr>
          <w:rFonts w:cs="Arial"/>
          <w:sz w:val="18"/>
          <w:szCs w:val="18"/>
          <w:lang w:eastAsia="en-GB"/>
        </w:rPr>
        <w:t>However, there can be no certainty that the Proposed Transactions will proceed, and the Board will continue to update shareholders as developments arise.</w:t>
      </w:r>
    </w:p>
    <w:p w14:paraId="6FAA32F5" w14:textId="77777777" w:rsidR="00C87842" w:rsidRPr="00C87842" w:rsidRDefault="00C87842" w:rsidP="00C87842">
      <w:pPr>
        <w:rPr>
          <w:rFonts w:cs="Arial"/>
          <w:i/>
          <w:iCs/>
          <w:sz w:val="18"/>
          <w:szCs w:val="18"/>
          <w:lang w:eastAsia="en-GB"/>
        </w:rPr>
      </w:pPr>
      <w:r w:rsidRPr="00C87842">
        <w:rPr>
          <w:rFonts w:cs="Arial"/>
          <w:i/>
          <w:iCs/>
          <w:sz w:val="18"/>
          <w:szCs w:val="18"/>
          <w:lang w:eastAsia="en-GB"/>
        </w:rPr>
        <w:t xml:space="preserve">Additional Proposed Acquisition </w:t>
      </w:r>
    </w:p>
    <w:p w14:paraId="6F71E27B" w14:textId="77777777" w:rsidR="00C87842" w:rsidRPr="00C87842" w:rsidRDefault="00C87842" w:rsidP="00C87842">
      <w:pPr>
        <w:rPr>
          <w:rFonts w:cs="Arial"/>
          <w:sz w:val="18"/>
          <w:szCs w:val="18"/>
          <w:lang w:eastAsia="en-GB"/>
        </w:rPr>
      </w:pPr>
      <w:r w:rsidRPr="00C87842">
        <w:rPr>
          <w:rFonts w:cs="Arial"/>
          <w:sz w:val="18"/>
          <w:szCs w:val="18"/>
          <w:lang w:eastAsia="en-GB"/>
        </w:rPr>
        <w:t>Given the delays being experienced in progressing the Proposed Transaction, the Board have considered several opportunities presented to them for the Company to acquire compl</w:t>
      </w:r>
      <w:r w:rsidR="00DC5C11">
        <w:rPr>
          <w:rFonts w:cs="Arial"/>
          <w:sz w:val="18"/>
          <w:szCs w:val="18"/>
          <w:lang w:eastAsia="en-GB"/>
        </w:rPr>
        <w:t>e</w:t>
      </w:r>
      <w:r w:rsidRPr="00C87842">
        <w:rPr>
          <w:rFonts w:cs="Arial"/>
          <w:sz w:val="18"/>
          <w:szCs w:val="18"/>
          <w:lang w:eastAsia="en-GB"/>
        </w:rPr>
        <w:t xml:space="preserve">mentary assets. A decision has been made to proceed to detailed negotiations on the acquisition of a gas asset in the Republic of Botswana (“Additional Proposed Acquisition”). Initial negotiations on headline terms are at an advanced stage although the Company will not enter into any substantive agreement unless and until it is satisfied with the results of its further due diligence. The Company will update shareholders once headline terms have been agreed. </w:t>
      </w:r>
    </w:p>
    <w:p w14:paraId="7F0A6C1C" w14:textId="77777777" w:rsidR="00C87842" w:rsidRDefault="00C87842" w:rsidP="00C87842">
      <w:pPr>
        <w:rPr>
          <w:rFonts w:cs="Arial"/>
          <w:sz w:val="18"/>
          <w:szCs w:val="18"/>
          <w:lang w:eastAsia="en-GB"/>
        </w:rPr>
      </w:pPr>
      <w:r w:rsidRPr="00C87842">
        <w:rPr>
          <w:rFonts w:cs="Arial"/>
          <w:sz w:val="18"/>
          <w:szCs w:val="18"/>
          <w:lang w:eastAsia="en-GB"/>
        </w:rPr>
        <w:t xml:space="preserve">Completion of this Additional Proposed Acquisition (if the Board are minded to proceed) will be subject to satisfaction of a number of conditions including; </w:t>
      </w:r>
      <w:r w:rsidR="00DC5C11">
        <w:rPr>
          <w:rFonts w:cs="Arial"/>
          <w:sz w:val="18"/>
          <w:szCs w:val="18"/>
          <w:lang w:eastAsia="en-GB"/>
        </w:rPr>
        <w:t>(</w:t>
      </w:r>
      <w:proofErr w:type="spellStart"/>
      <w:r w:rsidRPr="00C87842">
        <w:rPr>
          <w:rFonts w:cs="Arial"/>
          <w:sz w:val="18"/>
          <w:szCs w:val="18"/>
          <w:lang w:eastAsia="en-GB"/>
        </w:rPr>
        <w:t>i</w:t>
      </w:r>
      <w:proofErr w:type="spellEnd"/>
      <w:r w:rsidRPr="00C87842">
        <w:rPr>
          <w:rFonts w:cs="Arial"/>
          <w:sz w:val="18"/>
          <w:szCs w:val="18"/>
          <w:lang w:eastAsia="en-GB"/>
        </w:rPr>
        <w:t xml:space="preserve">) completion of satisfactory due diligence </w:t>
      </w:r>
      <w:r w:rsidR="00DC5C11">
        <w:rPr>
          <w:rFonts w:cs="Arial"/>
          <w:sz w:val="18"/>
          <w:szCs w:val="18"/>
          <w:lang w:eastAsia="en-GB"/>
        </w:rPr>
        <w:t>(</w:t>
      </w:r>
      <w:r w:rsidRPr="00C87842">
        <w:rPr>
          <w:rFonts w:cs="Arial"/>
          <w:sz w:val="18"/>
          <w:szCs w:val="18"/>
          <w:lang w:eastAsia="en-GB"/>
        </w:rPr>
        <w:t xml:space="preserve">ii) execution of a definitive legal agreements </w:t>
      </w:r>
      <w:r w:rsidR="00DC5C11">
        <w:rPr>
          <w:rFonts w:cs="Arial"/>
          <w:sz w:val="18"/>
          <w:szCs w:val="18"/>
          <w:lang w:eastAsia="en-GB"/>
        </w:rPr>
        <w:t>(</w:t>
      </w:r>
      <w:r w:rsidRPr="00C87842">
        <w:rPr>
          <w:rFonts w:cs="Arial"/>
          <w:sz w:val="18"/>
          <w:szCs w:val="18"/>
          <w:lang w:eastAsia="en-GB"/>
        </w:rPr>
        <w:t xml:space="preserve">iii) auditing of the licence holding company accounts; </w:t>
      </w:r>
      <w:r w:rsidR="00DC5C11">
        <w:rPr>
          <w:rFonts w:cs="Arial"/>
          <w:sz w:val="18"/>
          <w:szCs w:val="18"/>
          <w:lang w:eastAsia="en-GB"/>
        </w:rPr>
        <w:t>(</w:t>
      </w:r>
      <w:r w:rsidRPr="00C87842">
        <w:rPr>
          <w:rFonts w:cs="Arial"/>
          <w:sz w:val="18"/>
          <w:szCs w:val="18"/>
          <w:lang w:eastAsia="en-GB"/>
        </w:rPr>
        <w:t xml:space="preserve">iv) raising sufficient further funds for the Additional Proposed Acquisition and all necessary working capital; </w:t>
      </w:r>
      <w:r w:rsidR="00DC5C11">
        <w:rPr>
          <w:rFonts w:cs="Arial"/>
          <w:sz w:val="18"/>
          <w:szCs w:val="18"/>
          <w:lang w:eastAsia="en-GB"/>
        </w:rPr>
        <w:t>(</w:t>
      </w:r>
      <w:r w:rsidRPr="00C87842">
        <w:rPr>
          <w:rFonts w:cs="Arial"/>
          <w:sz w:val="18"/>
          <w:szCs w:val="18"/>
          <w:lang w:eastAsia="en-GB"/>
        </w:rPr>
        <w:t>v) approval by shareholders at a General Meeting to be convened; vi) obtaining all necessary approvals (if required) and; vii) granting of eligibility for the readmission of the Company to the Official List by the FCA.</w:t>
      </w:r>
    </w:p>
    <w:p w14:paraId="4DE26FDF" w14:textId="77777777" w:rsidR="00DC5C11" w:rsidRPr="00C87842" w:rsidRDefault="00DC5C11" w:rsidP="00C87842">
      <w:pPr>
        <w:rPr>
          <w:rFonts w:cs="Arial"/>
          <w:sz w:val="18"/>
          <w:szCs w:val="18"/>
          <w:lang w:eastAsia="en-GB"/>
        </w:rPr>
      </w:pPr>
      <w:r>
        <w:rPr>
          <w:rFonts w:cs="Arial"/>
          <w:sz w:val="18"/>
          <w:szCs w:val="18"/>
          <w:lang w:eastAsia="en-GB"/>
        </w:rPr>
        <w:t xml:space="preserve">In addition to the Additional Proposed Acquisition the Board is considering other potential opportunities. </w:t>
      </w:r>
    </w:p>
    <w:p w14:paraId="02EAA80A" w14:textId="77777777" w:rsidR="00C87842" w:rsidRPr="00C87842" w:rsidRDefault="00C87842" w:rsidP="00C87842">
      <w:pPr>
        <w:rPr>
          <w:rFonts w:cs="Arial"/>
          <w:i/>
          <w:iCs/>
          <w:sz w:val="18"/>
          <w:szCs w:val="18"/>
          <w:lang w:eastAsia="en-GB"/>
        </w:rPr>
      </w:pPr>
      <w:r w:rsidRPr="00C87842">
        <w:rPr>
          <w:rFonts w:cs="Arial"/>
          <w:i/>
          <w:iCs/>
          <w:sz w:val="18"/>
          <w:szCs w:val="18"/>
          <w:lang w:eastAsia="en-GB"/>
        </w:rPr>
        <w:t>Current Financial Position</w:t>
      </w:r>
    </w:p>
    <w:p w14:paraId="7F3D3BEE" w14:textId="77777777" w:rsidR="00C87842" w:rsidRPr="00C87842" w:rsidRDefault="00C87842" w:rsidP="00C87842">
      <w:pPr>
        <w:rPr>
          <w:rFonts w:cs="Arial"/>
          <w:sz w:val="18"/>
          <w:szCs w:val="18"/>
          <w:lang w:eastAsia="en-GB"/>
        </w:rPr>
      </w:pPr>
      <w:r w:rsidRPr="00C87842">
        <w:rPr>
          <w:rFonts w:cs="Arial"/>
          <w:sz w:val="18"/>
          <w:szCs w:val="18"/>
          <w:lang w:eastAsia="en-GB"/>
        </w:rPr>
        <w:t xml:space="preserve">The costs incurred in pursuing the Proposed Transaction together with the delay in securing a suitable project has reduced the Company’s cash resources notwithstanding that overheads have been kept to the absolute minimum, including no </w:t>
      </w:r>
      <w:proofErr w:type="gramStart"/>
      <w:r w:rsidRPr="00C87842">
        <w:rPr>
          <w:rFonts w:cs="Arial"/>
          <w:sz w:val="18"/>
          <w:szCs w:val="18"/>
          <w:lang w:eastAsia="en-GB"/>
        </w:rPr>
        <w:t>directors</w:t>
      </w:r>
      <w:proofErr w:type="gramEnd"/>
      <w:r w:rsidRPr="00C87842">
        <w:rPr>
          <w:rFonts w:cs="Arial"/>
          <w:sz w:val="18"/>
          <w:szCs w:val="18"/>
          <w:lang w:eastAsia="en-GB"/>
        </w:rPr>
        <w:t xml:space="preserve"> remuneration until a suitable project is finalised. The Company will require further capital to complete the Proposed Transaction and the Additional Proposed Acquisition and intends to approach certain of its shareholders to seek their agreement to provide further capital to ensure the Company is able to proceed with negotiations on both the Proposed Transaction and the Additional Proposed Acquisition.</w:t>
      </w:r>
    </w:p>
    <w:p w14:paraId="6B31116C" w14:textId="2BC24469" w:rsidR="00310418" w:rsidRPr="00D17658" w:rsidRDefault="00310418" w:rsidP="009236C6">
      <w:pPr>
        <w:rPr>
          <w:rFonts w:cs="Arial"/>
          <w:sz w:val="18"/>
          <w:szCs w:val="18"/>
          <w:lang w:eastAsia="en-GB"/>
        </w:rPr>
      </w:pPr>
      <w:r w:rsidRPr="00D17658">
        <w:rPr>
          <w:rFonts w:cs="Arial"/>
          <w:sz w:val="18"/>
          <w:szCs w:val="18"/>
          <w:lang w:eastAsia="en-GB"/>
        </w:rPr>
        <w:t>I look forward to reporting our progress to you</w:t>
      </w:r>
      <w:r w:rsidR="009236C6" w:rsidRPr="00D17658">
        <w:rPr>
          <w:rFonts w:cs="Arial"/>
          <w:sz w:val="18"/>
          <w:szCs w:val="18"/>
          <w:lang w:eastAsia="en-GB"/>
        </w:rPr>
        <w:t xml:space="preserve"> in </w:t>
      </w:r>
      <w:r w:rsidR="00DC5C11">
        <w:rPr>
          <w:rFonts w:cs="Arial"/>
          <w:sz w:val="18"/>
          <w:szCs w:val="18"/>
          <w:lang w:eastAsia="en-GB"/>
        </w:rPr>
        <w:t>relation to the above in the coming weeks</w:t>
      </w:r>
      <w:r w:rsidRPr="00D17658">
        <w:rPr>
          <w:rFonts w:cs="Arial"/>
          <w:sz w:val="18"/>
          <w:szCs w:val="18"/>
          <w:lang w:eastAsia="en-GB"/>
        </w:rPr>
        <w:t>.</w:t>
      </w:r>
    </w:p>
    <w:p w14:paraId="547645A8" w14:textId="77777777" w:rsidR="0074035B" w:rsidRPr="00D17658" w:rsidRDefault="0074035B" w:rsidP="00415C29">
      <w:pPr>
        <w:widowControl/>
        <w:spacing w:before="0" w:after="0"/>
        <w:jc w:val="left"/>
        <w:rPr>
          <w:rFonts w:cs="Arial"/>
          <w:b/>
          <w:sz w:val="18"/>
          <w:szCs w:val="18"/>
          <w:lang w:eastAsia="en-GB"/>
        </w:rPr>
      </w:pPr>
    </w:p>
    <w:p w14:paraId="585B2DC0" w14:textId="77777777" w:rsidR="00530ADE" w:rsidRPr="00D17658" w:rsidRDefault="00530ADE" w:rsidP="00415C29">
      <w:pPr>
        <w:widowControl/>
        <w:spacing w:before="0" w:after="0"/>
        <w:jc w:val="left"/>
        <w:rPr>
          <w:rFonts w:cs="Arial"/>
          <w:b/>
          <w:sz w:val="18"/>
          <w:szCs w:val="18"/>
          <w:lang w:eastAsia="en-GB"/>
        </w:rPr>
      </w:pPr>
    </w:p>
    <w:p w14:paraId="3CF6F1EC" w14:textId="77777777" w:rsidR="00524E07" w:rsidRPr="00D17658" w:rsidRDefault="00524E07" w:rsidP="00415C29">
      <w:pPr>
        <w:widowControl/>
        <w:spacing w:before="0" w:after="0"/>
        <w:jc w:val="left"/>
        <w:rPr>
          <w:rFonts w:cs="Arial"/>
          <w:b/>
          <w:sz w:val="18"/>
          <w:szCs w:val="18"/>
          <w:lang w:eastAsia="en-GB"/>
        </w:rPr>
      </w:pPr>
    </w:p>
    <w:p w14:paraId="1E73662A" w14:textId="77777777" w:rsidR="00530ADE" w:rsidRPr="00D17658" w:rsidRDefault="00530ADE" w:rsidP="00530ADE">
      <w:pPr>
        <w:spacing w:before="0" w:after="0"/>
        <w:rPr>
          <w:rFonts w:cs="Arial"/>
          <w:b/>
          <w:bCs/>
          <w:sz w:val="18"/>
          <w:szCs w:val="18"/>
          <w:lang w:eastAsia="en-GB"/>
        </w:rPr>
      </w:pPr>
      <w:r w:rsidRPr="00D17658">
        <w:rPr>
          <w:rFonts w:cs="Arial"/>
          <w:b/>
          <w:bCs/>
          <w:sz w:val="18"/>
          <w:szCs w:val="18"/>
          <w:lang w:eastAsia="en-GB"/>
        </w:rPr>
        <w:t>Roy Pitchford</w:t>
      </w:r>
    </w:p>
    <w:p w14:paraId="4C232C81" w14:textId="77777777" w:rsidR="00530ADE" w:rsidRPr="00D17658" w:rsidRDefault="00530ADE" w:rsidP="00530ADE">
      <w:pPr>
        <w:spacing w:before="0" w:after="0"/>
        <w:rPr>
          <w:rFonts w:cs="Arial"/>
          <w:i/>
          <w:iCs/>
          <w:sz w:val="18"/>
          <w:szCs w:val="18"/>
          <w:lang w:eastAsia="en-GB"/>
        </w:rPr>
      </w:pPr>
      <w:r w:rsidRPr="00D17658">
        <w:rPr>
          <w:rFonts w:cs="Arial"/>
          <w:i/>
          <w:iCs/>
          <w:sz w:val="18"/>
          <w:szCs w:val="18"/>
          <w:lang w:eastAsia="en-GB"/>
        </w:rPr>
        <w:t>Chairman</w:t>
      </w:r>
    </w:p>
    <w:p w14:paraId="7C6F2322" w14:textId="52AF7356" w:rsidR="0074035B" w:rsidRPr="00CE64DF" w:rsidRDefault="008354DF">
      <w:pPr>
        <w:widowControl/>
        <w:spacing w:before="0" w:after="0"/>
        <w:jc w:val="left"/>
        <w:rPr>
          <w:rFonts w:cs="Arial"/>
          <w:bCs/>
          <w:sz w:val="18"/>
          <w:szCs w:val="18"/>
          <w:lang w:eastAsia="en-GB"/>
        </w:rPr>
      </w:pPr>
      <w:r>
        <w:rPr>
          <w:rFonts w:cs="Arial"/>
          <w:bCs/>
          <w:sz w:val="18"/>
          <w:szCs w:val="18"/>
          <w:lang w:eastAsia="en-GB"/>
        </w:rPr>
        <w:t>26</w:t>
      </w:r>
      <w:r w:rsidR="00647FF5" w:rsidRPr="00D17658">
        <w:rPr>
          <w:rFonts w:cs="Arial"/>
          <w:bCs/>
          <w:sz w:val="18"/>
          <w:szCs w:val="18"/>
          <w:lang w:eastAsia="en-GB"/>
        </w:rPr>
        <w:t xml:space="preserve"> May 202</w:t>
      </w:r>
      <w:r w:rsidR="00D17658">
        <w:rPr>
          <w:rFonts w:cs="Arial"/>
          <w:bCs/>
          <w:sz w:val="18"/>
          <w:szCs w:val="18"/>
          <w:lang w:eastAsia="en-GB"/>
        </w:rPr>
        <w:t>3</w:t>
      </w:r>
      <w:r w:rsidR="0074035B" w:rsidRPr="00CE64DF">
        <w:rPr>
          <w:rFonts w:cs="Arial"/>
          <w:bCs/>
          <w:sz w:val="18"/>
          <w:szCs w:val="18"/>
          <w:lang w:eastAsia="en-GB"/>
        </w:rPr>
        <w:br w:type="page"/>
      </w:r>
    </w:p>
    <w:p w14:paraId="4EA3BA20" w14:textId="77777777" w:rsidR="0074035B" w:rsidRDefault="0074035B" w:rsidP="00415C29">
      <w:pPr>
        <w:widowControl/>
        <w:spacing w:before="0" w:after="0"/>
        <w:jc w:val="left"/>
        <w:rPr>
          <w:rFonts w:cs="Arial"/>
          <w:b/>
          <w:sz w:val="18"/>
          <w:szCs w:val="18"/>
          <w:lang w:eastAsia="en-GB"/>
        </w:rPr>
      </w:pPr>
    </w:p>
    <w:p w14:paraId="7A283151" w14:textId="77777777" w:rsidR="0074035B" w:rsidRPr="00CA6B15" w:rsidRDefault="0074035B" w:rsidP="00415C29">
      <w:pPr>
        <w:widowControl/>
        <w:spacing w:before="0" w:after="0"/>
        <w:jc w:val="left"/>
        <w:rPr>
          <w:rFonts w:cstheme="minorHAnsi"/>
          <w:b/>
          <w:bCs/>
          <w:szCs w:val="20"/>
        </w:rPr>
      </w:pPr>
      <w:r w:rsidRPr="00CA6B15">
        <w:rPr>
          <w:rFonts w:cstheme="minorHAnsi"/>
          <w:b/>
          <w:bCs/>
          <w:szCs w:val="20"/>
        </w:rPr>
        <w:t>STRATEGIC REPORT</w:t>
      </w:r>
    </w:p>
    <w:p w14:paraId="72F8EC81" w14:textId="77777777" w:rsidR="0074035B" w:rsidRPr="00CA6B15" w:rsidRDefault="0074035B" w:rsidP="00415C29">
      <w:pPr>
        <w:widowControl/>
        <w:spacing w:before="0" w:after="0"/>
        <w:jc w:val="left"/>
        <w:rPr>
          <w:rFonts w:cs="Arial"/>
          <w:b/>
          <w:sz w:val="18"/>
          <w:szCs w:val="18"/>
          <w:lang w:eastAsia="en-GB"/>
        </w:rPr>
      </w:pPr>
    </w:p>
    <w:p w14:paraId="52960946" w14:textId="77777777" w:rsidR="00415C29" w:rsidRPr="00CA6B15" w:rsidRDefault="00415C29" w:rsidP="00415C29">
      <w:pPr>
        <w:widowControl/>
        <w:spacing w:before="0" w:after="0"/>
        <w:jc w:val="left"/>
        <w:rPr>
          <w:rFonts w:cs="Arial"/>
          <w:b/>
          <w:szCs w:val="20"/>
          <w:lang w:eastAsia="en-GB"/>
        </w:rPr>
      </w:pPr>
      <w:r w:rsidRPr="00CA6B15">
        <w:rPr>
          <w:rFonts w:cs="Arial"/>
          <w:b/>
          <w:szCs w:val="20"/>
          <w:lang w:eastAsia="en-GB"/>
        </w:rPr>
        <w:t xml:space="preserve">Overview </w:t>
      </w:r>
    </w:p>
    <w:p w14:paraId="60EE985F"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The primary objective of the strategic report is to provide information for the shareholders and help them to assess how the directors have performed their duty, under section 172 of the Companies Act 2006, to promote the success of the company and to provide context for the related financial statements. </w:t>
      </w:r>
    </w:p>
    <w:p w14:paraId="3C585B77"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The duty of a director, as set out in section 172 of the Act, is to act in the way he considers, in good faith, would be most likely to promote the success of the company for the benefit of its members, and in doing so have regard (amongst other matters) to: </w:t>
      </w:r>
    </w:p>
    <w:p w14:paraId="24B9ADBD"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(a) the likely consequences of any decision in the long term; </w:t>
      </w:r>
    </w:p>
    <w:p w14:paraId="024AE668"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(b) the interests of the company's employees; </w:t>
      </w:r>
    </w:p>
    <w:p w14:paraId="0E75E6D8"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(c) the need to foster the company's business relationships with suppliers, customers and others; </w:t>
      </w:r>
    </w:p>
    <w:p w14:paraId="5C25B5C0"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(d) the impact of the company's operations on the community and the environment; </w:t>
      </w:r>
    </w:p>
    <w:p w14:paraId="2DBA69F5"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(e) the desirability of the company maintaining a reputation for high standards of business conduct; and </w:t>
      </w:r>
    </w:p>
    <w:p w14:paraId="637FA25C" w14:textId="77777777" w:rsidR="00415C29" w:rsidRPr="00CA6B15" w:rsidRDefault="00415C29" w:rsidP="00415C29">
      <w:pPr>
        <w:spacing w:after="0"/>
        <w:rPr>
          <w:rFonts w:cs="Arial"/>
          <w:sz w:val="18"/>
          <w:szCs w:val="18"/>
          <w:lang w:eastAsia="en-GB"/>
        </w:rPr>
      </w:pPr>
      <w:r w:rsidRPr="00CA6B15">
        <w:rPr>
          <w:rFonts w:cs="Arial"/>
          <w:sz w:val="18"/>
          <w:szCs w:val="18"/>
          <w:lang w:eastAsia="en-GB"/>
        </w:rPr>
        <w:t xml:space="preserve">(f) the need to act fairly as between members of the company. </w:t>
      </w:r>
    </w:p>
    <w:p w14:paraId="328492C4" w14:textId="77777777" w:rsidR="00415C29" w:rsidRPr="00CA6B15" w:rsidRDefault="008D51E0" w:rsidP="00415C29">
      <w:pPr>
        <w:spacing w:after="0"/>
        <w:rPr>
          <w:rFonts w:cs="Arial"/>
          <w:sz w:val="18"/>
          <w:szCs w:val="18"/>
          <w:lang w:eastAsia="en-GB"/>
        </w:rPr>
      </w:pPr>
      <w:r w:rsidRPr="00CA6B15">
        <w:rPr>
          <w:rFonts w:cs="Arial"/>
          <w:sz w:val="18"/>
          <w:szCs w:val="18"/>
          <w:lang w:eastAsia="en-GB"/>
        </w:rPr>
        <w:t xml:space="preserve">The </w:t>
      </w:r>
      <w:r w:rsidR="00415C29" w:rsidRPr="00CA6B15">
        <w:rPr>
          <w:rFonts w:cs="Arial"/>
          <w:sz w:val="18"/>
          <w:szCs w:val="18"/>
          <w:lang w:eastAsia="en-GB"/>
        </w:rPr>
        <w:t>Company is in its early stages and does not have any employees other than the board of Directors. Since listing</w:t>
      </w:r>
      <w:r w:rsidR="000D0119" w:rsidRPr="00CA6B15">
        <w:rPr>
          <w:rFonts w:cs="Arial"/>
          <w:sz w:val="18"/>
          <w:szCs w:val="18"/>
          <w:lang w:eastAsia="en-GB"/>
        </w:rPr>
        <w:t xml:space="preserve"> in March 2020</w:t>
      </w:r>
      <w:r w:rsidR="00C40C87" w:rsidRPr="00CA6B15">
        <w:rPr>
          <w:rFonts w:cs="Arial"/>
          <w:sz w:val="18"/>
          <w:szCs w:val="18"/>
          <w:lang w:eastAsia="en-GB"/>
        </w:rPr>
        <w:t>,</w:t>
      </w:r>
      <w:r w:rsidR="00415C29" w:rsidRPr="00CA6B15">
        <w:rPr>
          <w:rFonts w:cs="Arial"/>
          <w:sz w:val="18"/>
          <w:szCs w:val="18"/>
          <w:lang w:eastAsia="en-GB"/>
        </w:rPr>
        <w:t xml:space="preserve"> the Company </w:t>
      </w:r>
      <w:r w:rsidR="000D0119" w:rsidRPr="00CA6B15">
        <w:rPr>
          <w:rFonts w:cs="Arial"/>
          <w:sz w:val="18"/>
          <w:szCs w:val="18"/>
          <w:lang w:eastAsia="en-GB"/>
        </w:rPr>
        <w:t>has sought</w:t>
      </w:r>
      <w:r w:rsidR="00415C29" w:rsidRPr="00CA6B15">
        <w:rPr>
          <w:rFonts w:cs="Arial"/>
          <w:sz w:val="18"/>
          <w:szCs w:val="18"/>
          <w:lang w:eastAsia="en-GB"/>
        </w:rPr>
        <w:t xml:space="preserve"> a suitable </w:t>
      </w:r>
      <w:r w:rsidR="00DA6B4C" w:rsidRPr="00CA6B15">
        <w:rPr>
          <w:rFonts w:cs="Arial"/>
          <w:sz w:val="18"/>
          <w:szCs w:val="18"/>
          <w:lang w:eastAsia="en-GB"/>
        </w:rPr>
        <w:t>A</w:t>
      </w:r>
      <w:r w:rsidR="00415C29" w:rsidRPr="00CA6B15">
        <w:rPr>
          <w:rFonts w:cs="Arial"/>
          <w:sz w:val="18"/>
          <w:szCs w:val="18"/>
          <w:lang w:eastAsia="en-GB"/>
        </w:rPr>
        <w:t xml:space="preserve">cquisition and </w:t>
      </w:r>
      <w:r w:rsidR="00EC6724" w:rsidRPr="00CA6B15">
        <w:rPr>
          <w:rFonts w:cs="Arial"/>
          <w:sz w:val="18"/>
          <w:szCs w:val="18"/>
          <w:lang w:eastAsia="en-GB"/>
        </w:rPr>
        <w:t>in October 2021 entered a non-binding term sheet for the Proposed Transaction, further details of which are set out in the review of business section below</w:t>
      </w:r>
      <w:r w:rsidR="00415C29" w:rsidRPr="00CA6B15">
        <w:rPr>
          <w:rFonts w:cs="Arial"/>
          <w:sz w:val="18"/>
          <w:szCs w:val="18"/>
          <w:lang w:eastAsia="en-GB"/>
        </w:rPr>
        <w:t xml:space="preserve">. </w:t>
      </w:r>
    </w:p>
    <w:p w14:paraId="22FF3FE6" w14:textId="77777777" w:rsidR="00415C29" w:rsidRPr="00CA6B15" w:rsidRDefault="00415C29" w:rsidP="00415C29">
      <w:pPr>
        <w:spacing w:after="0"/>
        <w:rPr>
          <w:rFonts w:ascii="Arial" w:hAnsi="Arial" w:cs="Arial"/>
          <w:sz w:val="18"/>
          <w:szCs w:val="18"/>
        </w:rPr>
      </w:pPr>
      <w:r w:rsidRPr="00CA6B15">
        <w:rPr>
          <w:rFonts w:cs="Arial"/>
          <w:sz w:val="18"/>
          <w:szCs w:val="18"/>
          <w:lang w:eastAsia="en-GB"/>
        </w:rPr>
        <w:t>The Company has had relatively little interaction with its members and internal stakeholders during and subsequent to the financial year and it should be noted that due to the early stage of the Company’s development, the Board also deems the Company’s impact on external stakeholders to have been minimal during the financial year.</w:t>
      </w:r>
    </w:p>
    <w:p w14:paraId="3543141A" w14:textId="77777777" w:rsidR="00187AA6" w:rsidRPr="00CA6B15" w:rsidRDefault="00187AA6" w:rsidP="00927913">
      <w:pPr>
        <w:spacing w:after="0"/>
        <w:rPr>
          <w:rFonts w:ascii="Arial" w:hAnsi="Arial" w:cs="Arial"/>
          <w:sz w:val="18"/>
          <w:szCs w:val="18"/>
        </w:rPr>
      </w:pPr>
    </w:p>
    <w:p w14:paraId="6966F01A" w14:textId="77777777" w:rsidR="00ED7F76" w:rsidRPr="00CA6B15" w:rsidRDefault="004E4621" w:rsidP="00927913">
      <w:pPr>
        <w:spacing w:after="0"/>
        <w:rPr>
          <w:b/>
          <w:bCs/>
        </w:rPr>
      </w:pPr>
      <w:r w:rsidRPr="00CA6B15">
        <w:rPr>
          <w:b/>
          <w:bCs/>
        </w:rPr>
        <w:t xml:space="preserve">Review of the </w:t>
      </w:r>
      <w:r w:rsidR="00ED7F76" w:rsidRPr="00CA6B15">
        <w:rPr>
          <w:b/>
          <w:bCs/>
        </w:rPr>
        <w:t>Company</w:t>
      </w:r>
      <w:r w:rsidRPr="00CA6B15">
        <w:rPr>
          <w:b/>
          <w:bCs/>
        </w:rPr>
        <w:t xml:space="preserve">’s Business </w:t>
      </w:r>
    </w:p>
    <w:p w14:paraId="2D15FA4D" w14:textId="77777777" w:rsidR="00671618" w:rsidRPr="00CA6B15" w:rsidRDefault="00ED7F76" w:rsidP="00927913">
      <w:pPr>
        <w:spacing w:after="0"/>
        <w:rPr>
          <w:rFonts w:cs="Arial"/>
          <w:sz w:val="18"/>
          <w:szCs w:val="18"/>
          <w:lang w:eastAsia="en-GB"/>
        </w:rPr>
      </w:pPr>
      <w:r w:rsidRPr="00CA6B15">
        <w:rPr>
          <w:rFonts w:cs="Arial"/>
          <w:sz w:val="18"/>
          <w:szCs w:val="18"/>
          <w:lang w:eastAsia="en-GB"/>
        </w:rPr>
        <w:t xml:space="preserve">The Company was </w:t>
      </w:r>
      <w:r w:rsidR="00203604" w:rsidRPr="00CA6B15">
        <w:rPr>
          <w:rFonts w:cs="Arial"/>
          <w:sz w:val="18"/>
          <w:szCs w:val="18"/>
          <w:lang w:eastAsia="en-GB"/>
        </w:rPr>
        <w:t>set up</w:t>
      </w:r>
      <w:r w:rsidRPr="00CA6B15">
        <w:rPr>
          <w:rFonts w:cs="Arial"/>
          <w:sz w:val="18"/>
          <w:szCs w:val="18"/>
          <w:lang w:eastAsia="en-GB"/>
        </w:rPr>
        <w:t xml:space="preserve"> to undertake an </w:t>
      </w:r>
      <w:r w:rsidR="00D73983">
        <w:rPr>
          <w:rFonts w:cs="Arial"/>
          <w:sz w:val="18"/>
          <w:szCs w:val="18"/>
          <w:lang w:eastAsia="en-GB"/>
        </w:rPr>
        <w:t>a</w:t>
      </w:r>
      <w:r w:rsidR="00306D2C" w:rsidRPr="00CA6B15">
        <w:rPr>
          <w:rFonts w:cs="Arial"/>
          <w:sz w:val="18"/>
          <w:szCs w:val="18"/>
          <w:lang w:eastAsia="en-GB"/>
        </w:rPr>
        <w:t>cquisition</w:t>
      </w:r>
      <w:r w:rsidRPr="00CA6B15">
        <w:rPr>
          <w:rFonts w:cs="Arial"/>
          <w:sz w:val="18"/>
          <w:szCs w:val="18"/>
          <w:lang w:eastAsia="en-GB"/>
        </w:rPr>
        <w:t xml:space="preserve"> in</w:t>
      </w:r>
      <w:r w:rsidR="00DA6B4C" w:rsidRPr="00CA6B15">
        <w:rPr>
          <w:rFonts w:cs="Arial"/>
          <w:sz w:val="18"/>
          <w:szCs w:val="18"/>
          <w:lang w:eastAsia="en-GB"/>
        </w:rPr>
        <w:t xml:space="preserve"> the</w:t>
      </w:r>
      <w:r w:rsidRPr="00CA6B15">
        <w:rPr>
          <w:rFonts w:cs="Arial"/>
          <w:sz w:val="18"/>
          <w:szCs w:val="18"/>
          <w:lang w:eastAsia="en-GB"/>
        </w:rPr>
        <w:t xml:space="preserve"> natural resource</w:t>
      </w:r>
      <w:r w:rsidR="00DE12DE" w:rsidRPr="00CA6B15">
        <w:rPr>
          <w:rFonts w:cs="Arial"/>
          <w:sz w:val="18"/>
          <w:szCs w:val="18"/>
          <w:lang w:eastAsia="en-GB"/>
        </w:rPr>
        <w:t xml:space="preserve"> </w:t>
      </w:r>
      <w:r w:rsidR="00DA6B4C" w:rsidRPr="00CA6B15">
        <w:rPr>
          <w:rFonts w:cs="Arial"/>
          <w:sz w:val="18"/>
          <w:szCs w:val="18"/>
          <w:lang w:eastAsia="en-GB"/>
        </w:rPr>
        <w:t>sector,</w:t>
      </w:r>
      <w:r w:rsidR="00DE12DE" w:rsidRPr="00CA6B15">
        <w:rPr>
          <w:rFonts w:cs="Arial"/>
          <w:sz w:val="18"/>
          <w:szCs w:val="18"/>
          <w:lang w:eastAsia="en-GB"/>
        </w:rPr>
        <w:t xml:space="preserve"> </w:t>
      </w:r>
      <w:r w:rsidRPr="00CA6B15">
        <w:rPr>
          <w:rFonts w:cs="Arial"/>
          <w:sz w:val="18"/>
          <w:szCs w:val="18"/>
          <w:lang w:eastAsia="en-GB"/>
        </w:rPr>
        <w:t xml:space="preserve">that it will then look to develop. </w:t>
      </w:r>
    </w:p>
    <w:p w14:paraId="3F30222E" w14:textId="77777777" w:rsidR="00671618" w:rsidRPr="00CA6B15" w:rsidRDefault="00671618" w:rsidP="00927913">
      <w:pPr>
        <w:spacing w:after="0"/>
        <w:rPr>
          <w:rFonts w:cs="Arial"/>
          <w:sz w:val="18"/>
          <w:szCs w:val="18"/>
          <w:lang w:eastAsia="en-GB"/>
        </w:rPr>
      </w:pPr>
      <w:r w:rsidRPr="00CA6B15">
        <w:rPr>
          <w:rFonts w:cs="Arial"/>
          <w:sz w:val="18"/>
          <w:szCs w:val="18"/>
          <w:lang w:eastAsia="en-GB"/>
        </w:rPr>
        <w:t xml:space="preserve">On 6 March 2020, the Company successfully admitted its Ordinary Shares to the Official List (by way of a Standard Listing under Chapter 14 of the Listing Rules) and to </w:t>
      </w:r>
      <w:r w:rsidR="00AD7AE0" w:rsidRPr="00CA6B15">
        <w:rPr>
          <w:rFonts w:cs="Arial"/>
          <w:sz w:val="18"/>
          <w:szCs w:val="18"/>
          <w:lang w:eastAsia="en-GB"/>
        </w:rPr>
        <w:t xml:space="preserve">trading on </w:t>
      </w:r>
      <w:r w:rsidRPr="00CA6B15">
        <w:rPr>
          <w:rFonts w:cs="Arial"/>
          <w:sz w:val="18"/>
          <w:szCs w:val="18"/>
          <w:lang w:eastAsia="en-GB"/>
        </w:rPr>
        <w:t xml:space="preserve">the </w:t>
      </w:r>
      <w:r w:rsidR="00AD7AE0" w:rsidRPr="00CA6B15">
        <w:rPr>
          <w:rFonts w:cs="Arial"/>
          <w:sz w:val="18"/>
          <w:szCs w:val="18"/>
          <w:lang w:eastAsia="en-GB"/>
        </w:rPr>
        <w:t xml:space="preserve">Main Market of the </w:t>
      </w:r>
      <w:r w:rsidRPr="00CA6B15">
        <w:rPr>
          <w:rFonts w:cs="Arial"/>
          <w:sz w:val="18"/>
          <w:szCs w:val="18"/>
          <w:lang w:eastAsia="en-GB"/>
        </w:rPr>
        <w:t>London Stock Exchange</w:t>
      </w:r>
      <w:r w:rsidR="00AD7AE0" w:rsidRPr="00CA6B15">
        <w:rPr>
          <w:rFonts w:cs="Arial"/>
          <w:sz w:val="18"/>
          <w:szCs w:val="18"/>
          <w:lang w:eastAsia="en-GB"/>
        </w:rPr>
        <w:t xml:space="preserve">. </w:t>
      </w:r>
      <w:r w:rsidRPr="00CA6B15">
        <w:rPr>
          <w:rFonts w:cs="Arial"/>
          <w:sz w:val="18"/>
          <w:szCs w:val="18"/>
          <w:lang w:eastAsia="en-GB"/>
        </w:rPr>
        <w:t>In conjunction with this the Company raised gross proceeds to date (including £514,000 on admission to the main market) of approximately £726,667</w:t>
      </w:r>
      <w:r w:rsidR="003C712E" w:rsidRPr="00CA6B15">
        <w:rPr>
          <w:rFonts w:cs="Arial"/>
          <w:sz w:val="18"/>
          <w:szCs w:val="18"/>
          <w:lang w:eastAsia="en-GB"/>
        </w:rPr>
        <w:t>.</w:t>
      </w:r>
    </w:p>
    <w:p w14:paraId="0B00BC42" w14:textId="7D068342" w:rsidR="00FE75DB" w:rsidRPr="00C87842" w:rsidRDefault="00671618" w:rsidP="00FE75DB">
      <w:pPr>
        <w:rPr>
          <w:rFonts w:cs="Arial"/>
          <w:sz w:val="18"/>
          <w:szCs w:val="18"/>
          <w:lang w:eastAsia="en-GB"/>
        </w:rPr>
      </w:pPr>
      <w:r w:rsidRPr="00332D3B">
        <w:rPr>
          <w:rFonts w:cs="Arial"/>
          <w:sz w:val="18"/>
          <w:szCs w:val="18"/>
          <w:lang w:eastAsia="en-GB"/>
        </w:rPr>
        <w:t xml:space="preserve">As noted in the Chairman’s Statement, </w:t>
      </w:r>
      <w:r w:rsidRPr="00332D3B">
        <w:rPr>
          <w:rFonts w:eastAsia="Calibri" w:cstheme="minorHAnsi"/>
          <w:sz w:val="18"/>
          <w:szCs w:val="18"/>
          <w:lang w:eastAsia="en-US"/>
        </w:rPr>
        <w:t>t</w:t>
      </w:r>
      <w:r w:rsidR="00BD7D88" w:rsidRPr="00332D3B">
        <w:rPr>
          <w:rFonts w:eastAsia="Calibri" w:cstheme="minorHAnsi"/>
          <w:sz w:val="18"/>
          <w:szCs w:val="18"/>
          <w:lang w:eastAsia="en-US"/>
        </w:rPr>
        <w:t xml:space="preserve">he Company </w:t>
      </w:r>
      <w:r w:rsidRPr="00332D3B">
        <w:rPr>
          <w:rFonts w:eastAsia="Calibri" w:cstheme="minorHAnsi"/>
          <w:sz w:val="18"/>
          <w:szCs w:val="18"/>
          <w:lang w:eastAsia="en-US"/>
        </w:rPr>
        <w:t>has</w:t>
      </w:r>
      <w:r w:rsidR="00BD7D88" w:rsidRPr="00332D3B">
        <w:rPr>
          <w:rFonts w:eastAsia="Calibri" w:cstheme="minorHAnsi"/>
          <w:sz w:val="18"/>
          <w:szCs w:val="18"/>
          <w:lang w:eastAsia="en-US"/>
        </w:rPr>
        <w:t xml:space="preserve"> evaluate</w:t>
      </w:r>
      <w:r w:rsidRPr="00332D3B">
        <w:rPr>
          <w:rFonts w:eastAsia="Calibri" w:cstheme="minorHAnsi"/>
          <w:sz w:val="18"/>
          <w:szCs w:val="18"/>
          <w:lang w:eastAsia="en-US"/>
        </w:rPr>
        <w:t>d</w:t>
      </w:r>
      <w:r w:rsidR="00BD7D88" w:rsidRPr="00332D3B">
        <w:rPr>
          <w:rFonts w:eastAsia="Calibri" w:cstheme="minorHAnsi"/>
          <w:sz w:val="18"/>
          <w:szCs w:val="18"/>
          <w:lang w:eastAsia="en-US"/>
        </w:rPr>
        <w:t xml:space="preserve"> potential </w:t>
      </w:r>
      <w:r w:rsidR="00DA6B4C" w:rsidRPr="00332D3B">
        <w:rPr>
          <w:rFonts w:eastAsia="Calibri" w:cstheme="minorHAnsi"/>
          <w:sz w:val="18"/>
          <w:szCs w:val="18"/>
          <w:lang w:eastAsia="en-US"/>
        </w:rPr>
        <w:t>A</w:t>
      </w:r>
      <w:r w:rsidR="00BD7D88" w:rsidRPr="00332D3B">
        <w:rPr>
          <w:rFonts w:eastAsia="Calibri" w:cstheme="minorHAnsi"/>
          <w:sz w:val="18"/>
          <w:szCs w:val="18"/>
          <w:lang w:eastAsia="en-US"/>
        </w:rPr>
        <w:t>cquisition opportunities and</w:t>
      </w:r>
      <w:r w:rsidRPr="00332D3B">
        <w:rPr>
          <w:rFonts w:eastAsia="Calibri" w:cstheme="minorHAnsi"/>
          <w:sz w:val="18"/>
          <w:szCs w:val="18"/>
          <w:lang w:eastAsia="en-US"/>
        </w:rPr>
        <w:t xml:space="preserve"> in October 2021 entered into a non-binding term sheet with </w:t>
      </w:r>
      <w:r w:rsidRPr="00332D3B">
        <w:rPr>
          <w:rFonts w:cs="Arial"/>
          <w:sz w:val="18"/>
          <w:szCs w:val="18"/>
          <w:lang w:eastAsia="en-GB"/>
        </w:rPr>
        <w:t>ARH to acquire the entire issued share capital of NMGH, that will hold a</w:t>
      </w:r>
      <w:r w:rsidR="003D269E" w:rsidRPr="00332D3B">
        <w:rPr>
          <w:rFonts w:cs="Arial"/>
          <w:sz w:val="18"/>
          <w:szCs w:val="18"/>
          <w:lang w:eastAsia="en-GB"/>
        </w:rPr>
        <w:t xml:space="preserve"> </w:t>
      </w:r>
      <w:r w:rsidRPr="00332D3B">
        <w:rPr>
          <w:rFonts w:cs="Arial"/>
          <w:sz w:val="18"/>
          <w:szCs w:val="18"/>
          <w:lang w:eastAsia="en-GB"/>
        </w:rPr>
        <w:t>95%, interest in IGI, which in turn owns the LNGP exploration licences situated in the Free State Province of South Africa</w:t>
      </w:r>
      <w:r w:rsidR="00DA6B4C" w:rsidRPr="00332D3B">
        <w:rPr>
          <w:rFonts w:eastAsia="Calibri" w:cstheme="minorHAnsi"/>
          <w:sz w:val="18"/>
          <w:szCs w:val="18"/>
          <w:lang w:eastAsia="en-US"/>
        </w:rPr>
        <w:t>.</w:t>
      </w:r>
      <w:r w:rsidR="00ED7F76" w:rsidRPr="00332D3B">
        <w:rPr>
          <w:rFonts w:cs="Arial"/>
          <w:sz w:val="18"/>
          <w:szCs w:val="18"/>
          <w:lang w:eastAsia="en-GB"/>
        </w:rPr>
        <w:t xml:space="preserve"> </w:t>
      </w:r>
      <w:r w:rsidR="00FE75DB" w:rsidRPr="00C87842">
        <w:rPr>
          <w:rFonts w:cs="Arial"/>
          <w:sz w:val="18"/>
          <w:szCs w:val="18"/>
          <w:lang w:eastAsia="en-GB"/>
        </w:rPr>
        <w:t xml:space="preserve">The Company has completed its commercial due diligence on LNGP including commissioning a Competent Persons Report on the Licences covering the LNGP. During this diligence process </w:t>
      </w:r>
      <w:r w:rsidR="00FE75DB">
        <w:rPr>
          <w:rFonts w:cs="Arial"/>
          <w:sz w:val="18"/>
          <w:szCs w:val="18"/>
          <w:lang w:eastAsia="en-GB"/>
        </w:rPr>
        <w:t>the Company</w:t>
      </w:r>
      <w:r w:rsidR="00FE75DB" w:rsidRPr="00C87842">
        <w:rPr>
          <w:rFonts w:cs="Arial"/>
          <w:sz w:val="18"/>
          <w:szCs w:val="18"/>
          <w:lang w:eastAsia="en-GB"/>
        </w:rPr>
        <w:t xml:space="preserve"> became aware that the Licences had lapsed and were no longer in good standing. ARH, in conjunction with IGI, is currently collaborating with the South African mining authorities to renew the Licences. The likelihood of the renewal of the Licences cannot be guaranteed nor the timing forecast but it is reasonable to expect progress of the Proposed Transaction to be subject to further delay. This development has prevented the completion of the remaining conditions precedent to closing of the Proposed Transaction, namely, </w:t>
      </w:r>
      <w:r w:rsidR="00FE75DB">
        <w:rPr>
          <w:rFonts w:cs="Arial"/>
          <w:sz w:val="18"/>
          <w:szCs w:val="18"/>
          <w:lang w:eastAsia="en-GB"/>
        </w:rPr>
        <w:t>(</w:t>
      </w:r>
      <w:proofErr w:type="spellStart"/>
      <w:r w:rsidR="00FE75DB" w:rsidRPr="00C87842">
        <w:rPr>
          <w:rFonts w:cs="Arial"/>
          <w:sz w:val="18"/>
          <w:szCs w:val="18"/>
          <w:lang w:eastAsia="en-GB"/>
        </w:rPr>
        <w:t>i</w:t>
      </w:r>
      <w:proofErr w:type="spellEnd"/>
      <w:r w:rsidR="00FE75DB" w:rsidRPr="00C87842">
        <w:rPr>
          <w:rFonts w:cs="Arial"/>
          <w:sz w:val="18"/>
          <w:szCs w:val="18"/>
          <w:lang w:eastAsia="en-GB"/>
        </w:rPr>
        <w:t xml:space="preserve">) entering into definitive legal agreements </w:t>
      </w:r>
      <w:r w:rsidR="00FE75DB">
        <w:rPr>
          <w:rFonts w:cs="Arial"/>
          <w:sz w:val="18"/>
          <w:szCs w:val="18"/>
          <w:lang w:eastAsia="en-GB"/>
        </w:rPr>
        <w:t>(</w:t>
      </w:r>
      <w:r w:rsidR="00FE75DB" w:rsidRPr="00C87842">
        <w:rPr>
          <w:rFonts w:cs="Arial"/>
          <w:sz w:val="18"/>
          <w:szCs w:val="18"/>
          <w:lang w:eastAsia="en-GB"/>
        </w:rPr>
        <w:t xml:space="preserve">ii) raising further funds for the Proposed Transaction; </w:t>
      </w:r>
      <w:r w:rsidR="00FE75DB">
        <w:rPr>
          <w:rFonts w:cs="Arial"/>
          <w:sz w:val="18"/>
          <w:szCs w:val="18"/>
          <w:lang w:eastAsia="en-GB"/>
        </w:rPr>
        <w:t>(</w:t>
      </w:r>
      <w:r w:rsidR="00FE75DB" w:rsidRPr="00C87842">
        <w:rPr>
          <w:rFonts w:cs="Arial"/>
          <w:sz w:val="18"/>
          <w:szCs w:val="18"/>
          <w:lang w:eastAsia="en-GB"/>
        </w:rPr>
        <w:t xml:space="preserve">iii) approval by shareholders at a General Meeting to be convened; </w:t>
      </w:r>
      <w:r w:rsidR="00FE75DB">
        <w:rPr>
          <w:rFonts w:cs="Arial"/>
          <w:sz w:val="18"/>
          <w:szCs w:val="18"/>
          <w:lang w:eastAsia="en-GB"/>
        </w:rPr>
        <w:t>(</w:t>
      </w:r>
      <w:r w:rsidR="00FE75DB" w:rsidRPr="00C87842">
        <w:rPr>
          <w:rFonts w:cs="Arial"/>
          <w:sz w:val="18"/>
          <w:szCs w:val="18"/>
          <w:lang w:eastAsia="en-GB"/>
        </w:rPr>
        <w:t xml:space="preserve">iv) obtaining all necessary approvals (if required) and; </w:t>
      </w:r>
      <w:r w:rsidR="00FE75DB">
        <w:rPr>
          <w:rFonts w:cs="Arial"/>
          <w:sz w:val="18"/>
          <w:szCs w:val="18"/>
          <w:lang w:eastAsia="en-GB"/>
        </w:rPr>
        <w:t>(</w:t>
      </w:r>
      <w:r w:rsidR="00FE75DB" w:rsidRPr="00C87842">
        <w:rPr>
          <w:rFonts w:cs="Arial"/>
          <w:sz w:val="18"/>
          <w:szCs w:val="18"/>
          <w:lang w:eastAsia="en-GB"/>
        </w:rPr>
        <w:t>v) granting of eligibility for the readmission of the Company to the Official List by the FCA. The Board of MMM remain of the view that the Proposed Transaction is an attractive opportunity to present to shareholders and believes it is in the interest of the Company and its shareholders to continue to move forward with ARH to acquire NMGH, IGI, and the LNGP.</w:t>
      </w:r>
      <w:r w:rsidR="00FE75DB">
        <w:rPr>
          <w:rFonts w:cs="Arial"/>
          <w:sz w:val="18"/>
          <w:szCs w:val="18"/>
          <w:lang w:eastAsia="en-GB"/>
        </w:rPr>
        <w:t xml:space="preserve"> </w:t>
      </w:r>
      <w:r w:rsidR="00FE75DB" w:rsidRPr="00C87842">
        <w:rPr>
          <w:rFonts w:cs="Arial"/>
          <w:sz w:val="18"/>
          <w:szCs w:val="18"/>
          <w:lang w:eastAsia="en-GB"/>
        </w:rPr>
        <w:t>However, there can be no certainty that the Proposed Transactions will proceed, and the Board will continue to update shareholders as developments arise.</w:t>
      </w:r>
    </w:p>
    <w:p w14:paraId="0F3A0D28" w14:textId="77777777" w:rsidR="00A67A13" w:rsidRPr="00CA6B15" w:rsidRDefault="00A67A13" w:rsidP="001E07C2">
      <w:pPr>
        <w:pStyle w:val="dj"/>
        <w:spacing w:before="0" w:beforeAutospacing="0" w:after="0" w:afterAutospacing="0"/>
        <w:jc w:val="both"/>
        <w:rPr>
          <w:rFonts w:asciiTheme="minorHAnsi" w:eastAsia="SimSun" w:hAnsiTheme="minorHAnsi" w:cs="Arial"/>
          <w:kern w:val="2"/>
          <w:sz w:val="18"/>
          <w:szCs w:val="18"/>
        </w:rPr>
      </w:pPr>
      <w:r>
        <w:rPr>
          <w:rFonts w:asciiTheme="minorHAnsi" w:eastAsia="SimSun" w:hAnsiTheme="minorHAnsi" w:cs="Arial"/>
          <w:kern w:val="2"/>
          <w:sz w:val="18"/>
          <w:szCs w:val="18"/>
        </w:rPr>
        <w:t>As further noted in the Chairman’s Statement, there is an Additional Proposed Acquisition in contemplation along with other potential targets and the Board will provide updates on these in due course.</w:t>
      </w:r>
    </w:p>
    <w:p w14:paraId="41178109" w14:textId="77777777" w:rsidR="00187AA6" w:rsidRPr="00CA6B15" w:rsidRDefault="00187AA6" w:rsidP="00927913">
      <w:pPr>
        <w:spacing w:after="0"/>
        <w:rPr>
          <w:b/>
          <w:bCs/>
        </w:rPr>
      </w:pPr>
    </w:p>
    <w:p w14:paraId="3DBE1761" w14:textId="77777777" w:rsidR="009B6488" w:rsidRPr="00CA6B15" w:rsidRDefault="009B6488" w:rsidP="00927913">
      <w:pPr>
        <w:spacing w:after="0"/>
        <w:rPr>
          <w:b/>
          <w:bCs/>
        </w:rPr>
      </w:pPr>
      <w:r w:rsidRPr="00CA6B15">
        <w:rPr>
          <w:b/>
          <w:bCs/>
        </w:rPr>
        <w:t xml:space="preserve">Financing </w:t>
      </w:r>
      <w:r w:rsidR="00187AA6" w:rsidRPr="00CA6B15">
        <w:rPr>
          <w:b/>
          <w:bCs/>
        </w:rPr>
        <w:t xml:space="preserve">of the Company and </w:t>
      </w:r>
      <w:r w:rsidR="00247B5F" w:rsidRPr="00CA6B15">
        <w:rPr>
          <w:b/>
          <w:bCs/>
        </w:rPr>
        <w:t xml:space="preserve">the </w:t>
      </w:r>
      <w:r w:rsidR="00187AA6" w:rsidRPr="00CA6B15">
        <w:rPr>
          <w:b/>
          <w:bCs/>
        </w:rPr>
        <w:t>Proposed Transaction</w:t>
      </w:r>
    </w:p>
    <w:p w14:paraId="4093A74D" w14:textId="2771F37C" w:rsidR="00ED7F76" w:rsidRPr="00CA6B15" w:rsidRDefault="00ED7F76" w:rsidP="00927913">
      <w:pPr>
        <w:spacing w:after="0"/>
        <w:rPr>
          <w:rFonts w:cs="Arial"/>
          <w:sz w:val="18"/>
          <w:szCs w:val="18"/>
          <w:lang w:eastAsia="en-GB"/>
        </w:rPr>
      </w:pPr>
      <w:r w:rsidRPr="00CA6B15">
        <w:rPr>
          <w:rFonts w:cs="Arial"/>
          <w:sz w:val="18"/>
          <w:szCs w:val="18"/>
          <w:lang w:eastAsia="en-GB"/>
        </w:rPr>
        <w:t xml:space="preserve">The Directors intend to </w:t>
      </w:r>
      <w:r w:rsidR="00BC621A">
        <w:rPr>
          <w:rFonts w:cs="Arial"/>
          <w:sz w:val="18"/>
          <w:szCs w:val="18"/>
          <w:lang w:eastAsia="en-GB"/>
        </w:rPr>
        <w:t>raise further</w:t>
      </w:r>
      <w:r w:rsidR="0031728C" w:rsidRPr="00CA6B15">
        <w:rPr>
          <w:rFonts w:cs="Arial"/>
          <w:sz w:val="18"/>
          <w:szCs w:val="18"/>
          <w:lang w:eastAsia="en-GB"/>
        </w:rPr>
        <w:t xml:space="preserve"> cash resources</w:t>
      </w:r>
      <w:r w:rsidRPr="00CA6B15">
        <w:rPr>
          <w:rFonts w:cs="Arial"/>
          <w:sz w:val="18"/>
          <w:szCs w:val="18"/>
          <w:lang w:eastAsia="en-GB"/>
        </w:rPr>
        <w:t xml:space="preserve"> to fund the due diligence and other transaction costs in respect of the </w:t>
      </w:r>
      <w:r w:rsidR="0031728C" w:rsidRPr="00CA6B15">
        <w:rPr>
          <w:rFonts w:cs="Arial"/>
          <w:sz w:val="18"/>
          <w:szCs w:val="18"/>
          <w:lang w:eastAsia="en-GB"/>
        </w:rPr>
        <w:t>Proposed Transaction</w:t>
      </w:r>
      <w:r w:rsidRPr="00CA6B15">
        <w:rPr>
          <w:rFonts w:cs="Arial"/>
          <w:sz w:val="18"/>
          <w:szCs w:val="18"/>
          <w:lang w:eastAsia="en-GB"/>
        </w:rPr>
        <w:t xml:space="preserve">. The Directors will </w:t>
      </w:r>
      <w:r w:rsidR="00247B5F" w:rsidRPr="00CA6B15">
        <w:rPr>
          <w:rFonts w:cs="Arial"/>
          <w:sz w:val="18"/>
          <w:szCs w:val="18"/>
          <w:lang w:eastAsia="en-GB"/>
        </w:rPr>
        <w:t xml:space="preserve">seek to </w:t>
      </w:r>
      <w:r w:rsidRPr="00CA6B15">
        <w:rPr>
          <w:rFonts w:cs="Arial"/>
          <w:sz w:val="18"/>
          <w:szCs w:val="18"/>
          <w:lang w:eastAsia="en-GB"/>
        </w:rPr>
        <w:t xml:space="preserve">minimise costs expended on professional, advisory, and administrative fees. Additionally, the Company has considerable flexibility in how it </w:t>
      </w:r>
      <w:r w:rsidR="00247B5F" w:rsidRPr="00CA6B15">
        <w:rPr>
          <w:rFonts w:cs="Arial"/>
          <w:sz w:val="18"/>
          <w:szCs w:val="18"/>
          <w:lang w:eastAsia="en-GB"/>
        </w:rPr>
        <w:t>may</w:t>
      </w:r>
      <w:r w:rsidRPr="00CA6B15">
        <w:rPr>
          <w:rFonts w:cs="Arial"/>
          <w:sz w:val="18"/>
          <w:szCs w:val="18"/>
          <w:lang w:eastAsia="en-GB"/>
        </w:rPr>
        <w:t xml:space="preserve"> finance the consideration for the </w:t>
      </w:r>
      <w:r w:rsidR="0031728C" w:rsidRPr="00CA6B15">
        <w:rPr>
          <w:rFonts w:cs="Arial"/>
          <w:sz w:val="18"/>
          <w:szCs w:val="18"/>
          <w:lang w:eastAsia="en-GB"/>
        </w:rPr>
        <w:t>Proposed Transaction</w:t>
      </w:r>
      <w:r w:rsidRPr="00CA6B15">
        <w:rPr>
          <w:rFonts w:cs="Arial"/>
          <w:sz w:val="18"/>
          <w:szCs w:val="18"/>
          <w:lang w:eastAsia="en-GB"/>
        </w:rPr>
        <w:t xml:space="preserve">, </w:t>
      </w:r>
      <w:r w:rsidR="0031728C" w:rsidRPr="00CA6B15">
        <w:rPr>
          <w:rFonts w:cs="Arial"/>
          <w:sz w:val="18"/>
          <w:szCs w:val="18"/>
          <w:lang w:eastAsia="en-GB"/>
        </w:rPr>
        <w:t xml:space="preserve">although at this stage it is likely this will happen via the issue of </w:t>
      </w:r>
      <w:r w:rsidR="00247B5F" w:rsidRPr="00CA6B15">
        <w:rPr>
          <w:rFonts w:cs="Arial"/>
          <w:sz w:val="18"/>
          <w:szCs w:val="18"/>
          <w:lang w:eastAsia="en-GB"/>
        </w:rPr>
        <w:t xml:space="preserve">additional </w:t>
      </w:r>
      <w:r w:rsidR="00187AA6" w:rsidRPr="00CA6B15">
        <w:rPr>
          <w:rFonts w:cs="Arial"/>
          <w:sz w:val="18"/>
          <w:szCs w:val="18"/>
          <w:lang w:eastAsia="en-GB"/>
        </w:rPr>
        <w:t>shares</w:t>
      </w:r>
      <w:r w:rsidR="0031728C" w:rsidRPr="00CA6B15">
        <w:rPr>
          <w:rFonts w:cs="Arial"/>
          <w:sz w:val="18"/>
          <w:szCs w:val="18"/>
          <w:lang w:eastAsia="en-GB"/>
        </w:rPr>
        <w:t xml:space="preserve"> in the Company.</w:t>
      </w:r>
      <w:r w:rsidR="00247B5F" w:rsidRPr="00CA6B15">
        <w:rPr>
          <w:rFonts w:cs="Arial"/>
          <w:sz w:val="18"/>
          <w:szCs w:val="18"/>
          <w:lang w:eastAsia="en-GB"/>
        </w:rPr>
        <w:t xml:space="preserve"> It is also likely that in </w:t>
      </w:r>
      <w:r w:rsidR="00247B5F" w:rsidRPr="00CA6B15">
        <w:rPr>
          <w:rFonts w:cs="Arial"/>
          <w:sz w:val="18"/>
          <w:szCs w:val="18"/>
          <w:lang w:eastAsia="en-GB"/>
        </w:rPr>
        <w:lastRenderedPageBreak/>
        <w:t xml:space="preserve">conjunction with the Proposed Transaction further </w:t>
      </w:r>
      <w:r w:rsidR="008F504D" w:rsidRPr="00CA6B15">
        <w:rPr>
          <w:rFonts w:cs="Arial"/>
          <w:sz w:val="18"/>
          <w:szCs w:val="18"/>
          <w:lang w:eastAsia="en-GB"/>
        </w:rPr>
        <w:t xml:space="preserve">equity </w:t>
      </w:r>
      <w:r w:rsidR="00247B5F" w:rsidRPr="00CA6B15">
        <w:rPr>
          <w:rFonts w:cs="Arial"/>
          <w:sz w:val="18"/>
          <w:szCs w:val="18"/>
          <w:lang w:eastAsia="en-GB"/>
        </w:rPr>
        <w:t>funds will be raised through the issue of shares in the Company.</w:t>
      </w:r>
    </w:p>
    <w:p w14:paraId="7B85FE40" w14:textId="77777777" w:rsidR="00DA6B4C" w:rsidRPr="00CA6B15" w:rsidRDefault="00DA6B4C" w:rsidP="00927913">
      <w:pPr>
        <w:spacing w:after="0"/>
        <w:rPr>
          <w:b/>
          <w:bCs/>
        </w:rPr>
      </w:pPr>
    </w:p>
    <w:p w14:paraId="5E77CFD0" w14:textId="77777777" w:rsidR="009B6488" w:rsidRPr="00CA6B15" w:rsidRDefault="009B6488" w:rsidP="00927913">
      <w:pPr>
        <w:spacing w:after="0"/>
        <w:rPr>
          <w:b/>
          <w:bCs/>
        </w:rPr>
      </w:pPr>
      <w:r w:rsidRPr="00CA6B15">
        <w:rPr>
          <w:b/>
          <w:bCs/>
        </w:rPr>
        <w:t xml:space="preserve">Key Performance Indicators </w:t>
      </w:r>
    </w:p>
    <w:p w14:paraId="356C546D" w14:textId="77777777" w:rsidR="009B6488" w:rsidRPr="00CA6B15" w:rsidRDefault="009B6488" w:rsidP="00927913">
      <w:pPr>
        <w:spacing w:after="0"/>
        <w:rPr>
          <w:rFonts w:cs="Arial"/>
          <w:sz w:val="18"/>
          <w:szCs w:val="18"/>
          <w:lang w:eastAsia="en-GB"/>
        </w:rPr>
      </w:pPr>
      <w:r w:rsidRPr="00CA6B15">
        <w:rPr>
          <w:rFonts w:cs="Arial"/>
          <w:sz w:val="18"/>
          <w:szCs w:val="18"/>
          <w:lang w:eastAsia="en-GB"/>
        </w:rPr>
        <w:t>The Directors track the following as the Company's key performance indicators (</w:t>
      </w:r>
      <w:r w:rsidR="002270E1" w:rsidRPr="00CA6B15">
        <w:rPr>
          <w:rFonts w:cs="Arial"/>
          <w:sz w:val="18"/>
          <w:szCs w:val="18"/>
          <w:lang w:eastAsia="en-GB"/>
        </w:rPr>
        <w:t>“</w:t>
      </w:r>
      <w:proofErr w:type="spellStart"/>
      <w:r w:rsidRPr="00CA6B15">
        <w:rPr>
          <w:rFonts w:cs="Arial"/>
          <w:sz w:val="18"/>
          <w:szCs w:val="18"/>
          <w:lang w:eastAsia="en-GB"/>
        </w:rPr>
        <w:t>KPls</w:t>
      </w:r>
      <w:proofErr w:type="spellEnd"/>
      <w:r w:rsidR="002270E1" w:rsidRPr="00CA6B15">
        <w:rPr>
          <w:rFonts w:cs="Arial"/>
          <w:sz w:val="18"/>
          <w:szCs w:val="18"/>
          <w:lang w:eastAsia="en-GB"/>
        </w:rPr>
        <w:t>”</w:t>
      </w:r>
      <w:r w:rsidRPr="00CA6B15">
        <w:rPr>
          <w:rFonts w:cs="Arial"/>
          <w:sz w:val="18"/>
          <w:szCs w:val="18"/>
          <w:lang w:eastAsia="en-GB"/>
        </w:rPr>
        <w:t xml:space="preserve">): </w:t>
      </w:r>
    </w:p>
    <w:p w14:paraId="17EFA8BA" w14:textId="77777777" w:rsidR="009B6488" w:rsidRPr="00CA6B15" w:rsidRDefault="009B6488" w:rsidP="00737882">
      <w:pPr>
        <w:pStyle w:val="ListParagraph"/>
        <w:numPr>
          <w:ilvl w:val="0"/>
          <w:numId w:val="30"/>
        </w:numPr>
        <w:spacing w:after="0"/>
        <w:rPr>
          <w:rFonts w:cs="Arial"/>
          <w:sz w:val="18"/>
          <w:szCs w:val="18"/>
          <w:lang w:eastAsia="en-GB"/>
        </w:rPr>
      </w:pPr>
      <w:r w:rsidRPr="00CA6B15">
        <w:rPr>
          <w:rFonts w:cs="Arial"/>
          <w:sz w:val="18"/>
          <w:szCs w:val="18"/>
          <w:lang w:eastAsia="en-GB"/>
        </w:rPr>
        <w:t xml:space="preserve">Administrative expenses </w:t>
      </w:r>
    </w:p>
    <w:p w14:paraId="602893DA" w14:textId="77777777" w:rsidR="009B6488" w:rsidRPr="00CA6B15" w:rsidRDefault="009B6488" w:rsidP="00737882">
      <w:pPr>
        <w:pStyle w:val="ListParagraph"/>
        <w:numPr>
          <w:ilvl w:val="0"/>
          <w:numId w:val="30"/>
        </w:numPr>
        <w:spacing w:after="0"/>
        <w:rPr>
          <w:rFonts w:cs="Arial"/>
          <w:sz w:val="18"/>
          <w:szCs w:val="18"/>
          <w:lang w:eastAsia="en-GB"/>
        </w:rPr>
      </w:pPr>
      <w:r w:rsidRPr="00CA6B15">
        <w:rPr>
          <w:rFonts w:cs="Arial"/>
          <w:sz w:val="18"/>
          <w:szCs w:val="18"/>
          <w:lang w:eastAsia="en-GB"/>
        </w:rPr>
        <w:t xml:space="preserve">Cash holdings </w:t>
      </w:r>
    </w:p>
    <w:p w14:paraId="0FBCF973" w14:textId="77777777" w:rsidR="009B6488" w:rsidRPr="00CA6B15" w:rsidRDefault="009B6488" w:rsidP="00927913">
      <w:pPr>
        <w:spacing w:after="0"/>
        <w:rPr>
          <w:rFonts w:cs="Arial"/>
          <w:sz w:val="18"/>
          <w:szCs w:val="18"/>
          <w:lang w:eastAsia="en-GB"/>
        </w:rPr>
      </w:pPr>
      <w:r w:rsidRPr="00CA6B15">
        <w:rPr>
          <w:rFonts w:cs="Arial"/>
          <w:sz w:val="18"/>
          <w:szCs w:val="18"/>
          <w:lang w:eastAsia="en-GB"/>
        </w:rPr>
        <w:t xml:space="preserve">The Company's accounting systems track performance on a monthly basis in particular focusing on working capital needs. These </w:t>
      </w:r>
      <w:proofErr w:type="spellStart"/>
      <w:r w:rsidRPr="00CA6B15">
        <w:rPr>
          <w:rFonts w:cs="Arial"/>
          <w:sz w:val="18"/>
          <w:szCs w:val="18"/>
          <w:lang w:eastAsia="en-GB"/>
        </w:rPr>
        <w:t>KPls</w:t>
      </w:r>
      <w:proofErr w:type="spellEnd"/>
      <w:r w:rsidRPr="00CA6B15">
        <w:rPr>
          <w:rFonts w:cs="Arial"/>
          <w:sz w:val="18"/>
          <w:szCs w:val="18"/>
          <w:lang w:eastAsia="en-GB"/>
        </w:rPr>
        <w:t xml:space="preserve"> will be refined and augmented as the Company's business develops. </w:t>
      </w:r>
      <w:r w:rsidR="00E41473" w:rsidRPr="00CA6B15">
        <w:rPr>
          <w:rFonts w:cs="Arial"/>
          <w:sz w:val="18"/>
          <w:szCs w:val="18"/>
          <w:lang w:eastAsia="en-GB"/>
        </w:rPr>
        <w:t>I</w:t>
      </w:r>
      <w:r w:rsidRPr="00CA6B15">
        <w:rPr>
          <w:rFonts w:cs="Arial"/>
          <w:sz w:val="18"/>
          <w:szCs w:val="18"/>
          <w:lang w:eastAsia="en-GB"/>
        </w:rPr>
        <w:t xml:space="preserve">f the Acquisition is completed; the Directors expect the </w:t>
      </w:r>
      <w:proofErr w:type="spellStart"/>
      <w:r w:rsidRPr="00CA6B15">
        <w:rPr>
          <w:rFonts w:cs="Arial"/>
          <w:sz w:val="18"/>
          <w:szCs w:val="18"/>
          <w:lang w:eastAsia="en-GB"/>
        </w:rPr>
        <w:t>KPls</w:t>
      </w:r>
      <w:proofErr w:type="spellEnd"/>
      <w:r w:rsidRPr="00CA6B15">
        <w:rPr>
          <w:rFonts w:cs="Arial"/>
          <w:sz w:val="18"/>
          <w:szCs w:val="18"/>
          <w:lang w:eastAsia="en-GB"/>
        </w:rPr>
        <w:t xml:space="preserve"> to focus on revenue generation and the growth of the acquisition target.</w:t>
      </w:r>
    </w:p>
    <w:p w14:paraId="5FBA6FCA" w14:textId="77777777" w:rsidR="009B6488" w:rsidRPr="00CA6B15" w:rsidRDefault="009B6488">
      <w:pPr>
        <w:widowControl/>
        <w:spacing w:before="0" w:after="0"/>
        <w:jc w:val="left"/>
        <w:rPr>
          <w:rFonts w:cs="Arial"/>
          <w:sz w:val="18"/>
          <w:szCs w:val="18"/>
          <w:lang w:eastAsia="en-GB"/>
        </w:rPr>
      </w:pPr>
    </w:p>
    <w:p w14:paraId="0E5F8F5F" w14:textId="77777777" w:rsidR="009B6488" w:rsidRPr="00CA6B15" w:rsidRDefault="009B6488" w:rsidP="00737882">
      <w:pPr>
        <w:spacing w:after="0"/>
        <w:rPr>
          <w:b/>
          <w:bCs/>
        </w:rPr>
      </w:pPr>
      <w:r w:rsidRPr="00CA6B15">
        <w:rPr>
          <w:b/>
          <w:bCs/>
        </w:rPr>
        <w:t xml:space="preserve">Principal Risks and Uncertainties </w:t>
      </w:r>
    </w:p>
    <w:p w14:paraId="030BF413" w14:textId="77777777" w:rsidR="009B6488" w:rsidRPr="00CA6B15" w:rsidRDefault="009B6488" w:rsidP="00737882">
      <w:pPr>
        <w:spacing w:after="0"/>
        <w:rPr>
          <w:sz w:val="18"/>
          <w:szCs w:val="18"/>
        </w:rPr>
      </w:pPr>
      <w:r w:rsidRPr="00CA6B15">
        <w:rPr>
          <w:sz w:val="18"/>
          <w:szCs w:val="18"/>
        </w:rPr>
        <w:t xml:space="preserve">The Directors consider the principal risks and uncertainties facing the Company and a summary of the key measures taken to mitigate those risks are as follows: </w:t>
      </w:r>
    </w:p>
    <w:p w14:paraId="7C9F3818" w14:textId="77777777" w:rsidR="009B6488" w:rsidRPr="00CA6B15" w:rsidRDefault="009B6488">
      <w:pPr>
        <w:widowControl/>
        <w:spacing w:before="0" w:after="0"/>
        <w:jc w:val="left"/>
        <w:rPr>
          <w:sz w:val="18"/>
          <w:szCs w:val="18"/>
        </w:rPr>
      </w:pPr>
    </w:p>
    <w:p w14:paraId="0337DD99" w14:textId="77777777" w:rsidR="009B6488" w:rsidRPr="00CA6B15" w:rsidRDefault="009B6488">
      <w:pPr>
        <w:widowControl/>
        <w:spacing w:before="0" w:after="0"/>
        <w:jc w:val="left"/>
        <w:rPr>
          <w:b/>
          <w:bCs/>
          <w:i/>
          <w:iCs/>
          <w:sz w:val="18"/>
          <w:szCs w:val="18"/>
        </w:rPr>
      </w:pPr>
      <w:r w:rsidRPr="00CA6B15">
        <w:rPr>
          <w:b/>
          <w:bCs/>
          <w:i/>
          <w:iCs/>
          <w:sz w:val="18"/>
          <w:szCs w:val="18"/>
        </w:rPr>
        <w:t>Financial risks</w:t>
      </w:r>
    </w:p>
    <w:p w14:paraId="113CD7C7" w14:textId="77777777" w:rsidR="002270E1" w:rsidRPr="00CA6B15" w:rsidRDefault="002270E1">
      <w:pPr>
        <w:widowControl/>
        <w:spacing w:before="0" w:after="0"/>
        <w:jc w:val="left"/>
        <w:rPr>
          <w:sz w:val="18"/>
          <w:szCs w:val="18"/>
        </w:rPr>
      </w:pPr>
    </w:p>
    <w:p w14:paraId="662EB2AD" w14:textId="77777777" w:rsidR="009B6488" w:rsidRPr="00CA6B15" w:rsidRDefault="009B6488" w:rsidP="002270E1">
      <w:pPr>
        <w:widowControl/>
        <w:spacing w:before="0" w:after="0"/>
        <w:rPr>
          <w:sz w:val="18"/>
          <w:szCs w:val="18"/>
        </w:rPr>
      </w:pPr>
      <w:r w:rsidRPr="00CA6B15">
        <w:rPr>
          <w:sz w:val="18"/>
          <w:szCs w:val="18"/>
        </w:rPr>
        <w:t>The effective management of its financial exposures is central to preserving the Company's performance. The Company is exposed to financial market risks and may be impacted negatively by fluctuations</w:t>
      </w:r>
      <w:r w:rsidR="00AE0473" w:rsidRPr="00CA6B15">
        <w:rPr>
          <w:sz w:val="18"/>
          <w:szCs w:val="18"/>
        </w:rPr>
        <w:t xml:space="preserve"> in general capital market sentiment and cyclicality.</w:t>
      </w:r>
      <w:r w:rsidRPr="00CA6B15">
        <w:rPr>
          <w:sz w:val="18"/>
          <w:szCs w:val="18"/>
        </w:rPr>
        <w:t xml:space="preserve"> </w:t>
      </w:r>
      <w:r w:rsidR="00AE0473" w:rsidRPr="00CA6B15">
        <w:rPr>
          <w:sz w:val="18"/>
          <w:szCs w:val="18"/>
        </w:rPr>
        <w:t>T</w:t>
      </w:r>
      <w:r w:rsidRPr="00CA6B15">
        <w:rPr>
          <w:sz w:val="18"/>
          <w:szCs w:val="18"/>
        </w:rPr>
        <w:t xml:space="preserve">hese factors may create volatility in the Company's results to the extent that they are not effectively hedged. </w:t>
      </w:r>
    </w:p>
    <w:p w14:paraId="28898F56" w14:textId="77777777" w:rsidR="00AE0473" w:rsidRPr="00CA6B15" w:rsidRDefault="00AE0473" w:rsidP="002270E1">
      <w:pPr>
        <w:widowControl/>
        <w:spacing w:before="0" w:after="0"/>
        <w:rPr>
          <w:sz w:val="18"/>
          <w:szCs w:val="18"/>
        </w:rPr>
      </w:pPr>
    </w:p>
    <w:p w14:paraId="404C8CB7" w14:textId="77777777" w:rsidR="00AE0473" w:rsidRPr="00CA6B15" w:rsidRDefault="009B6488" w:rsidP="002270E1">
      <w:pPr>
        <w:widowControl/>
        <w:spacing w:before="0" w:after="0"/>
        <w:rPr>
          <w:sz w:val="18"/>
          <w:szCs w:val="18"/>
        </w:rPr>
      </w:pPr>
      <w:r w:rsidRPr="00CA6B15">
        <w:rPr>
          <w:sz w:val="18"/>
          <w:szCs w:val="18"/>
        </w:rPr>
        <w:t xml:space="preserve">The Company's outsourced finance team provides support to the board to ensure accurate financial reporting and tracking of business performance. Reporting on financial performance is provided on a regular basis to senior management and the Board. </w:t>
      </w:r>
    </w:p>
    <w:p w14:paraId="53BF2457" w14:textId="77777777" w:rsidR="00AE0473" w:rsidRPr="00CA6B15" w:rsidRDefault="00AE0473">
      <w:pPr>
        <w:widowControl/>
        <w:spacing w:before="0" w:after="0"/>
        <w:jc w:val="left"/>
        <w:rPr>
          <w:sz w:val="18"/>
          <w:szCs w:val="18"/>
        </w:rPr>
      </w:pPr>
    </w:p>
    <w:p w14:paraId="66E211F8" w14:textId="77777777" w:rsidR="00AE0473" w:rsidRPr="00CA6B15" w:rsidRDefault="009B6488" w:rsidP="00AE0473">
      <w:pPr>
        <w:widowControl/>
        <w:spacing w:before="0" w:after="0"/>
        <w:jc w:val="left"/>
        <w:rPr>
          <w:b/>
          <w:bCs/>
          <w:i/>
          <w:iCs/>
          <w:sz w:val="18"/>
          <w:szCs w:val="18"/>
        </w:rPr>
      </w:pPr>
      <w:r w:rsidRPr="00CA6B15">
        <w:rPr>
          <w:b/>
          <w:bCs/>
          <w:i/>
          <w:iCs/>
          <w:sz w:val="18"/>
          <w:szCs w:val="18"/>
        </w:rPr>
        <w:t xml:space="preserve">Operational risks </w:t>
      </w:r>
    </w:p>
    <w:p w14:paraId="09D8344F" w14:textId="77777777" w:rsidR="00AE0473" w:rsidRPr="00CA6B15" w:rsidRDefault="009B6488" w:rsidP="00737882">
      <w:pPr>
        <w:spacing w:after="0"/>
        <w:rPr>
          <w:sz w:val="18"/>
          <w:szCs w:val="18"/>
        </w:rPr>
      </w:pPr>
      <w:r w:rsidRPr="00D73983">
        <w:rPr>
          <w:sz w:val="18"/>
          <w:szCs w:val="18"/>
        </w:rPr>
        <w:t>The success of the</w:t>
      </w:r>
      <w:r w:rsidRPr="00CA6B15">
        <w:rPr>
          <w:sz w:val="18"/>
          <w:szCs w:val="18"/>
        </w:rPr>
        <w:t xml:space="preserve"> Company's business strategy is dependent on its ability to complete </w:t>
      </w:r>
      <w:r w:rsidR="002270E1" w:rsidRPr="00CA6B15">
        <w:rPr>
          <w:sz w:val="18"/>
          <w:szCs w:val="18"/>
        </w:rPr>
        <w:t>A</w:t>
      </w:r>
      <w:r w:rsidRPr="00CA6B15">
        <w:rPr>
          <w:sz w:val="18"/>
          <w:szCs w:val="18"/>
        </w:rPr>
        <w:t xml:space="preserve">cquisition opportunities and the subsequent performance of the acquired entities. </w:t>
      </w:r>
    </w:p>
    <w:p w14:paraId="465B6CAD" w14:textId="77777777" w:rsidR="00AE0473" w:rsidRPr="00CA6B15" w:rsidRDefault="00AE0473">
      <w:pPr>
        <w:widowControl/>
        <w:spacing w:before="0" w:after="0"/>
        <w:jc w:val="left"/>
        <w:rPr>
          <w:sz w:val="18"/>
          <w:szCs w:val="18"/>
        </w:rPr>
      </w:pPr>
    </w:p>
    <w:p w14:paraId="3C65089B" w14:textId="77777777" w:rsidR="00AE0473" w:rsidRPr="00CA6B15" w:rsidRDefault="009B6488">
      <w:pPr>
        <w:widowControl/>
        <w:spacing w:before="0" w:after="0"/>
        <w:jc w:val="left"/>
        <w:rPr>
          <w:sz w:val="18"/>
          <w:szCs w:val="18"/>
        </w:rPr>
      </w:pPr>
      <w:r w:rsidRPr="00CA6B15">
        <w:rPr>
          <w:sz w:val="18"/>
          <w:szCs w:val="18"/>
        </w:rPr>
        <w:t xml:space="preserve">The </w:t>
      </w:r>
      <w:r w:rsidR="00AE0473" w:rsidRPr="00CA6B15">
        <w:rPr>
          <w:sz w:val="18"/>
          <w:szCs w:val="18"/>
        </w:rPr>
        <w:t>Directors</w:t>
      </w:r>
      <w:r w:rsidRPr="00CA6B15">
        <w:rPr>
          <w:sz w:val="18"/>
          <w:szCs w:val="18"/>
        </w:rPr>
        <w:t xml:space="preserve"> seek to </w:t>
      </w:r>
      <w:r w:rsidR="00AE0473" w:rsidRPr="00CA6B15">
        <w:rPr>
          <w:sz w:val="18"/>
          <w:szCs w:val="18"/>
        </w:rPr>
        <w:t>manage</w:t>
      </w:r>
      <w:r w:rsidRPr="00CA6B15">
        <w:rPr>
          <w:sz w:val="18"/>
          <w:szCs w:val="18"/>
        </w:rPr>
        <w:t xml:space="preserve"> these risks by leveraging t</w:t>
      </w:r>
      <w:r w:rsidR="00AE0473" w:rsidRPr="00CA6B15">
        <w:rPr>
          <w:sz w:val="18"/>
          <w:szCs w:val="18"/>
        </w:rPr>
        <w:t>he</w:t>
      </w:r>
      <w:r w:rsidRPr="00CA6B15">
        <w:rPr>
          <w:sz w:val="18"/>
          <w:szCs w:val="18"/>
        </w:rPr>
        <w:t xml:space="preserve"> experience of the executive </w:t>
      </w:r>
      <w:r w:rsidR="00AE0473" w:rsidRPr="00CA6B15">
        <w:rPr>
          <w:sz w:val="18"/>
          <w:szCs w:val="18"/>
        </w:rPr>
        <w:t>team</w:t>
      </w:r>
      <w:r w:rsidRPr="00CA6B15">
        <w:rPr>
          <w:sz w:val="18"/>
          <w:szCs w:val="18"/>
        </w:rPr>
        <w:t xml:space="preserve"> </w:t>
      </w:r>
      <w:r w:rsidR="00AE0473" w:rsidRPr="00CA6B15">
        <w:rPr>
          <w:sz w:val="18"/>
          <w:szCs w:val="18"/>
        </w:rPr>
        <w:t>and</w:t>
      </w:r>
      <w:r w:rsidRPr="00CA6B15">
        <w:rPr>
          <w:sz w:val="18"/>
          <w:szCs w:val="18"/>
        </w:rPr>
        <w:t xml:space="preserve"> </w:t>
      </w:r>
      <w:r w:rsidR="00AE0473" w:rsidRPr="00CA6B15">
        <w:rPr>
          <w:sz w:val="18"/>
          <w:szCs w:val="18"/>
        </w:rPr>
        <w:t>complementary</w:t>
      </w:r>
      <w:r w:rsidRPr="00CA6B15">
        <w:rPr>
          <w:sz w:val="18"/>
          <w:szCs w:val="18"/>
        </w:rPr>
        <w:t xml:space="preserve"> skill sets of t</w:t>
      </w:r>
      <w:r w:rsidR="00AE0473" w:rsidRPr="00CA6B15">
        <w:rPr>
          <w:sz w:val="18"/>
          <w:szCs w:val="18"/>
        </w:rPr>
        <w:t>he</w:t>
      </w:r>
      <w:r w:rsidRPr="00CA6B15">
        <w:rPr>
          <w:sz w:val="18"/>
          <w:szCs w:val="18"/>
        </w:rPr>
        <w:t xml:space="preserve"> non-executive directors to </w:t>
      </w:r>
      <w:r w:rsidR="00AE0473" w:rsidRPr="00CA6B15">
        <w:rPr>
          <w:sz w:val="18"/>
          <w:szCs w:val="18"/>
        </w:rPr>
        <w:t>prudently</w:t>
      </w:r>
      <w:r w:rsidRPr="00CA6B15">
        <w:rPr>
          <w:sz w:val="18"/>
          <w:szCs w:val="18"/>
        </w:rPr>
        <w:t xml:space="preserve"> identify</w:t>
      </w:r>
      <w:r w:rsidR="00AE0473" w:rsidRPr="00CA6B15">
        <w:rPr>
          <w:sz w:val="18"/>
          <w:szCs w:val="18"/>
        </w:rPr>
        <w:t xml:space="preserve">, </w:t>
      </w:r>
      <w:r w:rsidRPr="00CA6B15">
        <w:rPr>
          <w:sz w:val="18"/>
          <w:szCs w:val="18"/>
        </w:rPr>
        <w:t>pursue an</w:t>
      </w:r>
      <w:r w:rsidR="00AE0473" w:rsidRPr="00CA6B15">
        <w:rPr>
          <w:sz w:val="18"/>
          <w:szCs w:val="18"/>
        </w:rPr>
        <w:t>d</w:t>
      </w:r>
      <w:r w:rsidRPr="00CA6B15">
        <w:rPr>
          <w:sz w:val="18"/>
          <w:szCs w:val="18"/>
        </w:rPr>
        <w:t xml:space="preserve"> execute on </w:t>
      </w:r>
      <w:r w:rsidR="002270E1" w:rsidRPr="00CA6B15">
        <w:rPr>
          <w:sz w:val="18"/>
          <w:szCs w:val="18"/>
        </w:rPr>
        <w:t>A</w:t>
      </w:r>
      <w:r w:rsidRPr="00CA6B15">
        <w:rPr>
          <w:sz w:val="18"/>
          <w:szCs w:val="18"/>
        </w:rPr>
        <w:t>cquisition opportunities</w:t>
      </w:r>
      <w:r w:rsidR="00AE0473" w:rsidRPr="00CA6B15">
        <w:rPr>
          <w:sz w:val="18"/>
          <w:szCs w:val="18"/>
        </w:rPr>
        <w:t>.</w:t>
      </w:r>
    </w:p>
    <w:p w14:paraId="0B080165" w14:textId="77777777" w:rsidR="00AE0473" w:rsidRPr="00CA6B15" w:rsidRDefault="00AE0473">
      <w:pPr>
        <w:widowControl/>
        <w:spacing w:before="0" w:after="0"/>
        <w:jc w:val="left"/>
        <w:rPr>
          <w:sz w:val="18"/>
          <w:szCs w:val="18"/>
        </w:rPr>
      </w:pPr>
    </w:p>
    <w:p w14:paraId="4D2A466C" w14:textId="77777777" w:rsidR="00AE0473" w:rsidRPr="00CA6B15" w:rsidRDefault="009B6488" w:rsidP="002270E1">
      <w:pPr>
        <w:widowControl/>
        <w:spacing w:before="0" w:after="0"/>
      </w:pPr>
      <w:r w:rsidRPr="00CA6B15">
        <w:rPr>
          <w:sz w:val="18"/>
          <w:szCs w:val="18"/>
        </w:rPr>
        <w:t>The</w:t>
      </w:r>
      <w:r w:rsidR="00AE0473" w:rsidRPr="00CA6B15">
        <w:rPr>
          <w:sz w:val="18"/>
          <w:szCs w:val="18"/>
        </w:rPr>
        <w:t xml:space="preserve"> review</w:t>
      </w:r>
      <w:r w:rsidRPr="00CA6B15">
        <w:rPr>
          <w:sz w:val="18"/>
          <w:szCs w:val="18"/>
        </w:rPr>
        <w:t xml:space="preserve"> of </w:t>
      </w:r>
      <w:r w:rsidR="002270E1" w:rsidRPr="00CA6B15">
        <w:rPr>
          <w:sz w:val="18"/>
          <w:szCs w:val="18"/>
        </w:rPr>
        <w:t>A</w:t>
      </w:r>
      <w:r w:rsidR="00AE0473" w:rsidRPr="00CA6B15">
        <w:rPr>
          <w:sz w:val="18"/>
          <w:szCs w:val="18"/>
        </w:rPr>
        <w:t>cquisition</w:t>
      </w:r>
      <w:r w:rsidRPr="00CA6B15">
        <w:rPr>
          <w:sz w:val="18"/>
          <w:szCs w:val="18"/>
        </w:rPr>
        <w:t xml:space="preserve"> </w:t>
      </w:r>
      <w:r w:rsidR="00AE0473" w:rsidRPr="00CA6B15">
        <w:rPr>
          <w:sz w:val="18"/>
          <w:szCs w:val="18"/>
        </w:rPr>
        <w:t>targets</w:t>
      </w:r>
      <w:r w:rsidRPr="00CA6B15">
        <w:rPr>
          <w:sz w:val="18"/>
          <w:szCs w:val="18"/>
        </w:rPr>
        <w:t xml:space="preserve"> involves an </w:t>
      </w:r>
      <w:r w:rsidR="00AE0473" w:rsidRPr="00CA6B15">
        <w:rPr>
          <w:sz w:val="18"/>
          <w:szCs w:val="18"/>
        </w:rPr>
        <w:t>assessment</w:t>
      </w:r>
      <w:r w:rsidRPr="00CA6B15">
        <w:rPr>
          <w:sz w:val="18"/>
          <w:szCs w:val="18"/>
        </w:rPr>
        <w:t xml:space="preserve"> of t</w:t>
      </w:r>
      <w:r w:rsidR="00AE0473" w:rsidRPr="00CA6B15">
        <w:rPr>
          <w:sz w:val="18"/>
          <w:szCs w:val="18"/>
        </w:rPr>
        <w:t>he</w:t>
      </w:r>
      <w:r w:rsidRPr="00CA6B15">
        <w:rPr>
          <w:sz w:val="18"/>
          <w:szCs w:val="18"/>
        </w:rPr>
        <w:t xml:space="preserve"> target's business and the </w:t>
      </w:r>
      <w:r w:rsidR="00AE0473" w:rsidRPr="00CA6B15">
        <w:rPr>
          <w:sz w:val="18"/>
          <w:szCs w:val="18"/>
        </w:rPr>
        <w:t>markets</w:t>
      </w:r>
      <w:r w:rsidRPr="00CA6B15">
        <w:rPr>
          <w:sz w:val="18"/>
          <w:szCs w:val="18"/>
        </w:rPr>
        <w:t xml:space="preserve"> it operates in</w:t>
      </w:r>
      <w:r w:rsidR="00AE0473" w:rsidRPr="00CA6B15">
        <w:rPr>
          <w:sz w:val="18"/>
          <w:szCs w:val="18"/>
        </w:rPr>
        <w:t>, i</w:t>
      </w:r>
      <w:r w:rsidRPr="00CA6B15">
        <w:rPr>
          <w:sz w:val="18"/>
          <w:szCs w:val="18"/>
        </w:rPr>
        <w:t xml:space="preserve">ts business plans and </w:t>
      </w:r>
      <w:r w:rsidR="00AE0473" w:rsidRPr="00CA6B15">
        <w:rPr>
          <w:sz w:val="18"/>
          <w:szCs w:val="18"/>
        </w:rPr>
        <w:t>management</w:t>
      </w:r>
      <w:r w:rsidRPr="00CA6B15">
        <w:rPr>
          <w:sz w:val="18"/>
          <w:szCs w:val="18"/>
        </w:rPr>
        <w:t xml:space="preserve"> capabilities. ln identifying and assessing </w:t>
      </w:r>
      <w:r w:rsidR="00AE0473" w:rsidRPr="00CA6B15">
        <w:rPr>
          <w:sz w:val="18"/>
          <w:szCs w:val="18"/>
        </w:rPr>
        <w:t>potential targets, the</w:t>
      </w:r>
      <w:r w:rsidRPr="00CA6B15">
        <w:rPr>
          <w:sz w:val="18"/>
          <w:szCs w:val="18"/>
        </w:rPr>
        <w:t xml:space="preserve"> </w:t>
      </w:r>
      <w:r w:rsidR="00AE0473" w:rsidRPr="00CA6B15">
        <w:rPr>
          <w:sz w:val="18"/>
          <w:szCs w:val="18"/>
        </w:rPr>
        <w:t>Board</w:t>
      </w:r>
      <w:r w:rsidRPr="00CA6B15">
        <w:rPr>
          <w:sz w:val="18"/>
          <w:szCs w:val="18"/>
        </w:rPr>
        <w:t xml:space="preserve"> </w:t>
      </w:r>
      <w:r w:rsidR="00AE0473" w:rsidRPr="00CA6B15">
        <w:rPr>
          <w:sz w:val="18"/>
          <w:szCs w:val="18"/>
        </w:rPr>
        <w:t>considers</w:t>
      </w:r>
      <w:r w:rsidRPr="00CA6B15">
        <w:rPr>
          <w:sz w:val="18"/>
          <w:szCs w:val="18"/>
        </w:rPr>
        <w:t xml:space="preserve"> the </w:t>
      </w:r>
      <w:r w:rsidR="00AE0473" w:rsidRPr="00CA6B15">
        <w:rPr>
          <w:sz w:val="18"/>
          <w:szCs w:val="18"/>
        </w:rPr>
        <w:t>r</w:t>
      </w:r>
      <w:r w:rsidRPr="00CA6B15">
        <w:rPr>
          <w:sz w:val="18"/>
          <w:szCs w:val="18"/>
        </w:rPr>
        <w:t xml:space="preserve">isk </w:t>
      </w:r>
      <w:r w:rsidR="00AE0473" w:rsidRPr="00CA6B15">
        <w:rPr>
          <w:sz w:val="18"/>
          <w:szCs w:val="18"/>
        </w:rPr>
        <w:t>profile</w:t>
      </w:r>
      <w:r w:rsidRPr="00CA6B15">
        <w:rPr>
          <w:sz w:val="18"/>
          <w:szCs w:val="18"/>
        </w:rPr>
        <w:t xml:space="preserve"> of the business concerned</w:t>
      </w:r>
      <w:r w:rsidR="00050C2C" w:rsidRPr="00CA6B15">
        <w:rPr>
          <w:sz w:val="18"/>
          <w:szCs w:val="18"/>
        </w:rPr>
        <w:t>, i</w:t>
      </w:r>
      <w:r w:rsidRPr="00CA6B15">
        <w:rPr>
          <w:sz w:val="18"/>
          <w:szCs w:val="18"/>
        </w:rPr>
        <w:t>n particular</w:t>
      </w:r>
      <w:r w:rsidR="00AE0473" w:rsidRPr="00CA6B15">
        <w:rPr>
          <w:sz w:val="18"/>
          <w:szCs w:val="18"/>
        </w:rPr>
        <w:t>,</w:t>
      </w:r>
      <w:r w:rsidRPr="00CA6B15">
        <w:rPr>
          <w:sz w:val="18"/>
          <w:szCs w:val="18"/>
        </w:rPr>
        <w:t xml:space="preserve"> its financial and </w:t>
      </w:r>
      <w:r w:rsidR="00AE0473" w:rsidRPr="00CA6B15">
        <w:rPr>
          <w:sz w:val="18"/>
          <w:szCs w:val="18"/>
        </w:rPr>
        <w:t>commercial</w:t>
      </w:r>
      <w:r w:rsidRPr="00CA6B15">
        <w:rPr>
          <w:sz w:val="18"/>
          <w:szCs w:val="18"/>
        </w:rPr>
        <w:t xml:space="preserve"> </w:t>
      </w:r>
      <w:r w:rsidR="00AE0473" w:rsidRPr="00CA6B15">
        <w:rPr>
          <w:sz w:val="18"/>
          <w:szCs w:val="18"/>
        </w:rPr>
        <w:t>viability</w:t>
      </w:r>
      <w:r w:rsidRPr="00CA6B15">
        <w:rPr>
          <w:sz w:val="18"/>
          <w:szCs w:val="18"/>
        </w:rPr>
        <w:t xml:space="preserve"> an</w:t>
      </w:r>
      <w:r w:rsidR="00AE0473" w:rsidRPr="00CA6B15">
        <w:rPr>
          <w:sz w:val="18"/>
          <w:szCs w:val="18"/>
        </w:rPr>
        <w:t>d</w:t>
      </w:r>
      <w:r w:rsidRPr="00CA6B15">
        <w:rPr>
          <w:sz w:val="18"/>
          <w:szCs w:val="18"/>
        </w:rPr>
        <w:t xml:space="preserve"> suitability fo</w:t>
      </w:r>
      <w:r w:rsidR="00AE0473" w:rsidRPr="00CA6B15">
        <w:rPr>
          <w:sz w:val="18"/>
          <w:szCs w:val="18"/>
        </w:rPr>
        <w:t>r</w:t>
      </w:r>
      <w:r w:rsidRPr="00CA6B15">
        <w:rPr>
          <w:sz w:val="18"/>
          <w:szCs w:val="18"/>
        </w:rPr>
        <w:t xml:space="preserve"> a listed </w:t>
      </w:r>
      <w:r w:rsidR="00AE0473" w:rsidRPr="00CA6B15">
        <w:rPr>
          <w:sz w:val="18"/>
          <w:szCs w:val="18"/>
        </w:rPr>
        <w:t>company</w:t>
      </w:r>
      <w:r w:rsidRPr="00CA6B15">
        <w:rPr>
          <w:sz w:val="18"/>
          <w:szCs w:val="18"/>
        </w:rPr>
        <w:t xml:space="preserve">. The </w:t>
      </w:r>
      <w:r w:rsidR="00AE0473" w:rsidRPr="00CA6B15">
        <w:rPr>
          <w:sz w:val="18"/>
          <w:szCs w:val="18"/>
        </w:rPr>
        <w:t>Board</w:t>
      </w:r>
      <w:r w:rsidRPr="00CA6B15">
        <w:rPr>
          <w:sz w:val="18"/>
          <w:szCs w:val="18"/>
        </w:rPr>
        <w:t xml:space="preserve"> consults its Financial A</w:t>
      </w:r>
      <w:r w:rsidR="00AE0473" w:rsidRPr="00CA6B15">
        <w:rPr>
          <w:sz w:val="18"/>
          <w:szCs w:val="18"/>
        </w:rPr>
        <w:t>dvisor</w:t>
      </w:r>
      <w:r w:rsidRPr="00CA6B15">
        <w:rPr>
          <w:sz w:val="18"/>
          <w:szCs w:val="18"/>
        </w:rPr>
        <w:t xml:space="preserve"> and Broker throughout as a </w:t>
      </w:r>
      <w:r w:rsidR="00AE0473" w:rsidRPr="00CA6B15">
        <w:rPr>
          <w:sz w:val="18"/>
          <w:szCs w:val="18"/>
        </w:rPr>
        <w:t>means</w:t>
      </w:r>
      <w:r w:rsidRPr="00CA6B15">
        <w:rPr>
          <w:sz w:val="18"/>
          <w:szCs w:val="18"/>
        </w:rPr>
        <w:t xml:space="preserve"> of </w:t>
      </w:r>
      <w:r w:rsidR="00AE0473" w:rsidRPr="00CA6B15">
        <w:rPr>
          <w:sz w:val="18"/>
          <w:szCs w:val="18"/>
        </w:rPr>
        <w:t>mitigating</w:t>
      </w:r>
      <w:r w:rsidRPr="00CA6B15">
        <w:rPr>
          <w:sz w:val="18"/>
          <w:szCs w:val="18"/>
        </w:rPr>
        <w:t xml:space="preserve"> ris</w:t>
      </w:r>
      <w:r w:rsidR="00AE0473" w:rsidRPr="00CA6B15">
        <w:rPr>
          <w:sz w:val="18"/>
          <w:szCs w:val="18"/>
        </w:rPr>
        <w:t>k</w:t>
      </w:r>
      <w:r w:rsidRPr="00CA6B15">
        <w:rPr>
          <w:sz w:val="18"/>
          <w:szCs w:val="18"/>
        </w:rPr>
        <w:t xml:space="preserve"> and </w:t>
      </w:r>
      <w:r w:rsidR="00AE0473" w:rsidRPr="00CA6B15">
        <w:rPr>
          <w:sz w:val="18"/>
          <w:szCs w:val="18"/>
        </w:rPr>
        <w:t>complying with</w:t>
      </w:r>
      <w:r w:rsidRPr="00CA6B15">
        <w:rPr>
          <w:sz w:val="18"/>
          <w:szCs w:val="18"/>
        </w:rPr>
        <w:t xml:space="preserve"> the listing Rules. </w:t>
      </w:r>
      <w:r w:rsidR="00AE0473" w:rsidRPr="00CA6B15">
        <w:rPr>
          <w:sz w:val="18"/>
          <w:szCs w:val="18"/>
        </w:rPr>
        <w:t>Performance</w:t>
      </w:r>
      <w:r w:rsidRPr="00CA6B15">
        <w:rPr>
          <w:sz w:val="18"/>
          <w:szCs w:val="18"/>
        </w:rPr>
        <w:t xml:space="preserve"> is </w:t>
      </w:r>
      <w:r w:rsidR="00AE0473" w:rsidRPr="00CA6B15">
        <w:rPr>
          <w:sz w:val="18"/>
          <w:szCs w:val="18"/>
        </w:rPr>
        <w:t>monitored</w:t>
      </w:r>
      <w:r w:rsidRPr="00CA6B15">
        <w:rPr>
          <w:sz w:val="18"/>
          <w:szCs w:val="18"/>
        </w:rPr>
        <w:t xml:space="preserve"> regularly </w:t>
      </w:r>
      <w:r w:rsidR="00AE0473" w:rsidRPr="00CA6B15">
        <w:rPr>
          <w:sz w:val="18"/>
          <w:szCs w:val="18"/>
        </w:rPr>
        <w:t>and</w:t>
      </w:r>
      <w:r w:rsidRPr="00CA6B15">
        <w:rPr>
          <w:sz w:val="18"/>
          <w:szCs w:val="18"/>
        </w:rPr>
        <w:t xml:space="preserve"> </w:t>
      </w:r>
      <w:r w:rsidR="00AE0473" w:rsidRPr="00CA6B15">
        <w:rPr>
          <w:sz w:val="18"/>
          <w:szCs w:val="18"/>
        </w:rPr>
        <w:t>reported</w:t>
      </w:r>
      <w:r w:rsidRPr="00CA6B15">
        <w:rPr>
          <w:sz w:val="18"/>
          <w:szCs w:val="18"/>
        </w:rPr>
        <w:t xml:space="preserve"> to the </w:t>
      </w:r>
      <w:r w:rsidR="00AE0473" w:rsidRPr="00CA6B15">
        <w:rPr>
          <w:sz w:val="18"/>
          <w:szCs w:val="18"/>
        </w:rPr>
        <w:t>Board</w:t>
      </w:r>
      <w:r w:rsidRPr="00CA6B15">
        <w:rPr>
          <w:sz w:val="18"/>
          <w:szCs w:val="18"/>
        </w:rPr>
        <w:t>.</w:t>
      </w:r>
      <w:r w:rsidRPr="00CA6B15">
        <w:t xml:space="preserve"> </w:t>
      </w:r>
    </w:p>
    <w:p w14:paraId="69DC890E" w14:textId="77777777" w:rsidR="00AE0473" w:rsidRPr="00CA6B15" w:rsidRDefault="00AE0473">
      <w:pPr>
        <w:widowControl/>
        <w:spacing w:before="0" w:after="0"/>
        <w:jc w:val="left"/>
      </w:pPr>
    </w:p>
    <w:p w14:paraId="4C82C689" w14:textId="77777777" w:rsidR="00AE0473" w:rsidRPr="00CA6B15" w:rsidRDefault="00AE0473" w:rsidP="00737882">
      <w:pPr>
        <w:spacing w:after="0"/>
        <w:rPr>
          <w:b/>
          <w:bCs/>
        </w:rPr>
      </w:pPr>
      <w:r w:rsidRPr="00CA6B15">
        <w:rPr>
          <w:b/>
          <w:bCs/>
        </w:rPr>
        <w:t xml:space="preserve">Corporate Responsibility </w:t>
      </w:r>
    </w:p>
    <w:p w14:paraId="5007578D" w14:textId="77777777" w:rsidR="00AE0473" w:rsidRPr="00CA6B15" w:rsidRDefault="00AE0473" w:rsidP="002270E1">
      <w:pPr>
        <w:widowControl/>
        <w:spacing w:after="0"/>
        <w:rPr>
          <w:sz w:val="18"/>
          <w:szCs w:val="18"/>
        </w:rPr>
      </w:pPr>
      <w:r w:rsidRPr="00CA6B15">
        <w:rPr>
          <w:sz w:val="18"/>
          <w:szCs w:val="18"/>
        </w:rPr>
        <w:t xml:space="preserve">The Company takes its responsibilities as a corporate citizen seriously. The Board’s primary goal is to create shareholder value but in a responsible manner that serves all stakeholders. </w:t>
      </w:r>
    </w:p>
    <w:p w14:paraId="44B697A3" w14:textId="77777777" w:rsidR="00AE0473" w:rsidRPr="00CA6B15" w:rsidRDefault="00AE0473">
      <w:pPr>
        <w:widowControl/>
        <w:spacing w:before="0" w:after="0"/>
        <w:jc w:val="left"/>
      </w:pPr>
    </w:p>
    <w:p w14:paraId="2BE412C5" w14:textId="77777777" w:rsidR="00AE0473" w:rsidRPr="00CA6B15" w:rsidRDefault="00AE0473" w:rsidP="00737882">
      <w:pPr>
        <w:widowControl/>
        <w:spacing w:after="0"/>
        <w:jc w:val="left"/>
        <w:rPr>
          <w:b/>
          <w:bCs/>
          <w:szCs w:val="20"/>
        </w:rPr>
      </w:pPr>
      <w:r w:rsidRPr="00CA6B15">
        <w:rPr>
          <w:b/>
          <w:bCs/>
          <w:szCs w:val="20"/>
        </w:rPr>
        <w:t xml:space="preserve">Governance </w:t>
      </w:r>
    </w:p>
    <w:p w14:paraId="67B0DF23" w14:textId="77777777" w:rsidR="007E01D6" w:rsidRPr="00CA6B15" w:rsidRDefault="00AE0473" w:rsidP="002270E1">
      <w:pPr>
        <w:widowControl/>
        <w:spacing w:after="0"/>
        <w:rPr>
          <w:sz w:val="18"/>
          <w:szCs w:val="18"/>
        </w:rPr>
      </w:pPr>
      <w:r w:rsidRPr="00CA6B15">
        <w:rPr>
          <w:sz w:val="18"/>
          <w:szCs w:val="18"/>
        </w:rPr>
        <w:t>The Board considers</w:t>
      </w:r>
      <w:r w:rsidR="00CB7800" w:rsidRPr="00CA6B15">
        <w:rPr>
          <w:sz w:val="18"/>
          <w:szCs w:val="18"/>
        </w:rPr>
        <w:t xml:space="preserve"> corporate</w:t>
      </w:r>
      <w:r w:rsidRPr="00CA6B15">
        <w:rPr>
          <w:sz w:val="18"/>
          <w:szCs w:val="18"/>
        </w:rPr>
        <w:t xml:space="preserve"> governance as a critical component of the Company’s success. The Company has an effective and engaged Boar</w:t>
      </w:r>
      <w:r w:rsidR="007E01D6" w:rsidRPr="00CA6B15">
        <w:rPr>
          <w:sz w:val="18"/>
          <w:szCs w:val="18"/>
        </w:rPr>
        <w:t>d with</w:t>
      </w:r>
      <w:r w:rsidRPr="00CA6B15">
        <w:rPr>
          <w:sz w:val="18"/>
          <w:szCs w:val="18"/>
        </w:rPr>
        <w:t xml:space="preserve"> a strong non-executive presence </w:t>
      </w:r>
      <w:r w:rsidR="007E01D6" w:rsidRPr="00CA6B15">
        <w:rPr>
          <w:sz w:val="18"/>
          <w:szCs w:val="18"/>
        </w:rPr>
        <w:t>from</w:t>
      </w:r>
      <w:r w:rsidRPr="00CA6B15">
        <w:rPr>
          <w:sz w:val="18"/>
          <w:szCs w:val="18"/>
        </w:rPr>
        <w:t xml:space="preserve"> diverse </w:t>
      </w:r>
      <w:r w:rsidR="007E01D6" w:rsidRPr="00CA6B15">
        <w:rPr>
          <w:sz w:val="18"/>
          <w:szCs w:val="18"/>
        </w:rPr>
        <w:t>backgrounds</w:t>
      </w:r>
      <w:r w:rsidRPr="00CA6B15">
        <w:rPr>
          <w:sz w:val="18"/>
          <w:szCs w:val="18"/>
        </w:rPr>
        <w:t>. The Boa</w:t>
      </w:r>
      <w:r w:rsidR="007E01D6" w:rsidRPr="00CA6B15">
        <w:rPr>
          <w:sz w:val="18"/>
          <w:szCs w:val="18"/>
        </w:rPr>
        <w:t>rd</w:t>
      </w:r>
      <w:r w:rsidRPr="00CA6B15">
        <w:rPr>
          <w:sz w:val="18"/>
          <w:szCs w:val="18"/>
        </w:rPr>
        <w:t xml:space="preserve"> is </w:t>
      </w:r>
      <w:r w:rsidR="007E01D6" w:rsidRPr="00CA6B15">
        <w:rPr>
          <w:sz w:val="18"/>
          <w:szCs w:val="18"/>
        </w:rPr>
        <w:t>committed</w:t>
      </w:r>
      <w:r w:rsidRPr="00CA6B15">
        <w:rPr>
          <w:sz w:val="18"/>
          <w:szCs w:val="18"/>
        </w:rPr>
        <w:t xml:space="preserve"> to ensuring </w:t>
      </w:r>
      <w:r w:rsidR="007E01D6" w:rsidRPr="00CA6B15">
        <w:rPr>
          <w:sz w:val="18"/>
          <w:szCs w:val="18"/>
        </w:rPr>
        <w:t>that</w:t>
      </w:r>
      <w:r w:rsidRPr="00CA6B15">
        <w:rPr>
          <w:sz w:val="18"/>
          <w:szCs w:val="18"/>
        </w:rPr>
        <w:t xml:space="preserve"> </w:t>
      </w:r>
      <w:r w:rsidR="007E01D6" w:rsidRPr="00CA6B15">
        <w:rPr>
          <w:sz w:val="18"/>
          <w:szCs w:val="18"/>
        </w:rPr>
        <w:t>particularly as</w:t>
      </w:r>
      <w:r w:rsidRPr="00CA6B15">
        <w:rPr>
          <w:sz w:val="18"/>
          <w:szCs w:val="18"/>
        </w:rPr>
        <w:t xml:space="preserve"> the </w:t>
      </w:r>
      <w:r w:rsidR="007E01D6" w:rsidRPr="00CA6B15">
        <w:rPr>
          <w:sz w:val="18"/>
          <w:szCs w:val="18"/>
        </w:rPr>
        <w:t>Company’s</w:t>
      </w:r>
      <w:r w:rsidRPr="00CA6B15">
        <w:rPr>
          <w:sz w:val="18"/>
          <w:szCs w:val="18"/>
        </w:rPr>
        <w:t xml:space="preserve"> </w:t>
      </w:r>
      <w:r w:rsidR="007E01D6" w:rsidRPr="00CA6B15">
        <w:rPr>
          <w:sz w:val="18"/>
          <w:szCs w:val="18"/>
        </w:rPr>
        <w:t>business</w:t>
      </w:r>
      <w:r w:rsidRPr="00CA6B15">
        <w:rPr>
          <w:sz w:val="18"/>
          <w:szCs w:val="18"/>
        </w:rPr>
        <w:t xml:space="preserve"> </w:t>
      </w:r>
      <w:r w:rsidR="007E01D6" w:rsidRPr="00CA6B15">
        <w:rPr>
          <w:sz w:val="18"/>
          <w:szCs w:val="18"/>
        </w:rPr>
        <w:t>d</w:t>
      </w:r>
      <w:r w:rsidRPr="00CA6B15">
        <w:rPr>
          <w:sz w:val="18"/>
          <w:szCs w:val="18"/>
        </w:rPr>
        <w:t>evelops</w:t>
      </w:r>
      <w:r w:rsidR="007E01D6" w:rsidRPr="00CA6B15">
        <w:rPr>
          <w:sz w:val="18"/>
          <w:szCs w:val="18"/>
        </w:rPr>
        <w:t xml:space="preserve">, </w:t>
      </w:r>
      <w:r w:rsidRPr="00CA6B15">
        <w:rPr>
          <w:sz w:val="18"/>
          <w:szCs w:val="18"/>
        </w:rPr>
        <w:t>the Company's values a</w:t>
      </w:r>
      <w:r w:rsidR="007E01D6" w:rsidRPr="00CA6B15">
        <w:rPr>
          <w:sz w:val="18"/>
          <w:szCs w:val="18"/>
        </w:rPr>
        <w:t>r</w:t>
      </w:r>
      <w:r w:rsidRPr="00CA6B15">
        <w:rPr>
          <w:sz w:val="18"/>
          <w:szCs w:val="18"/>
        </w:rPr>
        <w:t xml:space="preserve">e </w:t>
      </w:r>
      <w:r w:rsidR="007E01D6" w:rsidRPr="00CA6B15">
        <w:rPr>
          <w:sz w:val="18"/>
          <w:szCs w:val="18"/>
        </w:rPr>
        <w:t>reinforced,</w:t>
      </w:r>
      <w:r w:rsidRPr="00CA6B15">
        <w:rPr>
          <w:sz w:val="18"/>
          <w:szCs w:val="18"/>
        </w:rPr>
        <w:t xml:space="preserve"> effective risk </w:t>
      </w:r>
      <w:r w:rsidR="007E01D6" w:rsidRPr="00CA6B15">
        <w:rPr>
          <w:sz w:val="18"/>
          <w:szCs w:val="18"/>
        </w:rPr>
        <w:t>management</w:t>
      </w:r>
      <w:r w:rsidRPr="00CA6B15">
        <w:rPr>
          <w:sz w:val="18"/>
          <w:szCs w:val="18"/>
        </w:rPr>
        <w:t xml:space="preserve"> </w:t>
      </w:r>
      <w:r w:rsidR="007E01D6" w:rsidRPr="00CA6B15">
        <w:rPr>
          <w:sz w:val="18"/>
          <w:szCs w:val="18"/>
        </w:rPr>
        <w:t>practices</w:t>
      </w:r>
      <w:r w:rsidRPr="00CA6B15">
        <w:rPr>
          <w:sz w:val="18"/>
          <w:szCs w:val="18"/>
        </w:rPr>
        <w:t xml:space="preserve"> are </w:t>
      </w:r>
      <w:r w:rsidR="007E01D6" w:rsidRPr="00CA6B15">
        <w:rPr>
          <w:sz w:val="18"/>
          <w:szCs w:val="18"/>
        </w:rPr>
        <w:t>implemented</w:t>
      </w:r>
      <w:r w:rsidRPr="00CA6B15">
        <w:rPr>
          <w:sz w:val="18"/>
          <w:szCs w:val="18"/>
        </w:rPr>
        <w:t xml:space="preserve"> an</w:t>
      </w:r>
      <w:r w:rsidR="007E01D6" w:rsidRPr="00CA6B15">
        <w:rPr>
          <w:sz w:val="18"/>
          <w:szCs w:val="18"/>
        </w:rPr>
        <w:t>d</w:t>
      </w:r>
      <w:r w:rsidRPr="00CA6B15">
        <w:rPr>
          <w:sz w:val="18"/>
          <w:szCs w:val="18"/>
        </w:rPr>
        <w:t xml:space="preserve"> that </w:t>
      </w:r>
      <w:r w:rsidR="007E01D6" w:rsidRPr="00CA6B15">
        <w:rPr>
          <w:sz w:val="18"/>
          <w:szCs w:val="18"/>
        </w:rPr>
        <w:t>the</w:t>
      </w:r>
      <w:r w:rsidRPr="00CA6B15">
        <w:rPr>
          <w:sz w:val="18"/>
          <w:szCs w:val="18"/>
        </w:rPr>
        <w:t xml:space="preserve"> </w:t>
      </w:r>
      <w:r w:rsidR="007E01D6" w:rsidRPr="00CA6B15">
        <w:rPr>
          <w:sz w:val="18"/>
          <w:szCs w:val="18"/>
        </w:rPr>
        <w:t>Company</w:t>
      </w:r>
      <w:r w:rsidRPr="00CA6B15">
        <w:rPr>
          <w:sz w:val="18"/>
          <w:szCs w:val="18"/>
        </w:rPr>
        <w:t xml:space="preserve"> </w:t>
      </w:r>
      <w:r w:rsidR="007E01D6" w:rsidRPr="00CA6B15">
        <w:rPr>
          <w:sz w:val="18"/>
          <w:szCs w:val="18"/>
        </w:rPr>
        <w:t>adheres</w:t>
      </w:r>
      <w:r w:rsidRPr="00CA6B15">
        <w:rPr>
          <w:sz w:val="18"/>
          <w:szCs w:val="18"/>
        </w:rPr>
        <w:t xml:space="preserve"> to </w:t>
      </w:r>
      <w:r w:rsidR="007E01D6" w:rsidRPr="00CA6B15">
        <w:rPr>
          <w:sz w:val="18"/>
          <w:szCs w:val="18"/>
        </w:rPr>
        <w:t>high standards</w:t>
      </w:r>
      <w:r w:rsidRPr="00CA6B15">
        <w:rPr>
          <w:sz w:val="18"/>
          <w:szCs w:val="18"/>
        </w:rPr>
        <w:t xml:space="preserve"> of </w:t>
      </w:r>
      <w:r w:rsidR="007E01D6" w:rsidRPr="00CA6B15">
        <w:rPr>
          <w:sz w:val="18"/>
          <w:szCs w:val="18"/>
        </w:rPr>
        <w:t>corporate</w:t>
      </w:r>
      <w:r w:rsidRPr="00CA6B15">
        <w:rPr>
          <w:sz w:val="18"/>
          <w:szCs w:val="18"/>
        </w:rPr>
        <w:t xml:space="preserve"> </w:t>
      </w:r>
      <w:r w:rsidR="007E01D6" w:rsidRPr="00CA6B15">
        <w:rPr>
          <w:sz w:val="18"/>
          <w:szCs w:val="18"/>
        </w:rPr>
        <w:t>governance</w:t>
      </w:r>
      <w:r w:rsidRPr="00CA6B15">
        <w:rPr>
          <w:sz w:val="18"/>
          <w:szCs w:val="18"/>
        </w:rPr>
        <w:t xml:space="preserve">. </w:t>
      </w:r>
    </w:p>
    <w:p w14:paraId="076D3E2D" w14:textId="77777777" w:rsidR="00E922D3" w:rsidRPr="00CA6B15" w:rsidRDefault="00E922D3" w:rsidP="002270E1">
      <w:pPr>
        <w:widowControl/>
        <w:spacing w:after="0"/>
        <w:rPr>
          <w:sz w:val="18"/>
          <w:szCs w:val="18"/>
        </w:rPr>
      </w:pPr>
      <w:r w:rsidRPr="00CA6B15">
        <w:rPr>
          <w:sz w:val="18"/>
          <w:szCs w:val="18"/>
        </w:rPr>
        <w:t xml:space="preserve">The Company has decided not to apply </w:t>
      </w:r>
      <w:r w:rsidR="001D0D95" w:rsidRPr="00CA6B15">
        <w:rPr>
          <w:sz w:val="18"/>
          <w:szCs w:val="18"/>
        </w:rPr>
        <w:t xml:space="preserve">a </w:t>
      </w:r>
      <w:r w:rsidRPr="00CA6B15">
        <w:rPr>
          <w:sz w:val="18"/>
          <w:szCs w:val="18"/>
        </w:rPr>
        <w:t>Corporate Governance Code provisions given its current size and resources. The Company is a small company with modest resources. The Company has a clear mandate to optimise the allocation of limited resources to source acquisitions and support its future plans. As such the Company strives to maintain a balance between conservation of limited resources and maintaining robust corporate governance practices. As the Company evolves, the Board is committed to enhancing the Company’s corporate governance policies and practices deemed appropriate to the size and maturity of the organisation.</w:t>
      </w:r>
    </w:p>
    <w:p w14:paraId="04F6EC83" w14:textId="77777777" w:rsidR="007E01D6" w:rsidRPr="00CA6B15" w:rsidRDefault="007E01D6" w:rsidP="002270E1">
      <w:pPr>
        <w:widowControl/>
        <w:spacing w:before="0" w:after="0"/>
        <w:rPr>
          <w:sz w:val="18"/>
          <w:szCs w:val="18"/>
        </w:rPr>
      </w:pPr>
    </w:p>
    <w:p w14:paraId="0FDC1EDB" w14:textId="77777777" w:rsidR="007E01D6" w:rsidRPr="00CA6B15" w:rsidRDefault="00AE0473" w:rsidP="002270E1">
      <w:pPr>
        <w:widowControl/>
        <w:spacing w:before="0" w:after="0"/>
        <w:rPr>
          <w:sz w:val="18"/>
          <w:szCs w:val="18"/>
        </w:rPr>
      </w:pPr>
      <w:r w:rsidRPr="00CA6B15">
        <w:rPr>
          <w:sz w:val="18"/>
          <w:szCs w:val="18"/>
        </w:rPr>
        <w:t xml:space="preserve">The </w:t>
      </w:r>
      <w:r w:rsidR="007E01D6" w:rsidRPr="00CA6B15">
        <w:rPr>
          <w:sz w:val="18"/>
          <w:szCs w:val="18"/>
        </w:rPr>
        <w:t>management</w:t>
      </w:r>
      <w:r w:rsidRPr="00CA6B15">
        <w:rPr>
          <w:sz w:val="18"/>
          <w:szCs w:val="18"/>
        </w:rPr>
        <w:t xml:space="preserve"> </w:t>
      </w:r>
      <w:r w:rsidR="007E01D6" w:rsidRPr="00CA6B15">
        <w:rPr>
          <w:sz w:val="18"/>
          <w:szCs w:val="18"/>
        </w:rPr>
        <w:t>report</w:t>
      </w:r>
      <w:r w:rsidRPr="00CA6B15">
        <w:rPr>
          <w:sz w:val="18"/>
          <w:szCs w:val="18"/>
        </w:rPr>
        <w:t xml:space="preserve"> </w:t>
      </w:r>
      <w:r w:rsidR="007E01D6" w:rsidRPr="00CA6B15">
        <w:rPr>
          <w:sz w:val="18"/>
          <w:szCs w:val="18"/>
        </w:rPr>
        <w:t>for</w:t>
      </w:r>
      <w:r w:rsidRPr="00CA6B15">
        <w:rPr>
          <w:sz w:val="18"/>
          <w:szCs w:val="18"/>
        </w:rPr>
        <w:t xml:space="preserve"> the perio</w:t>
      </w:r>
      <w:r w:rsidR="007E01D6" w:rsidRPr="00CA6B15">
        <w:rPr>
          <w:sz w:val="18"/>
          <w:szCs w:val="18"/>
        </w:rPr>
        <w:t>d</w:t>
      </w:r>
      <w:r w:rsidRPr="00CA6B15">
        <w:rPr>
          <w:sz w:val="18"/>
          <w:szCs w:val="18"/>
        </w:rPr>
        <w:t xml:space="preserve"> is constituted by the content of the </w:t>
      </w:r>
      <w:r w:rsidR="007E01D6" w:rsidRPr="00CA6B15">
        <w:rPr>
          <w:sz w:val="18"/>
          <w:szCs w:val="18"/>
        </w:rPr>
        <w:t>Strategic</w:t>
      </w:r>
      <w:r w:rsidRPr="00CA6B15">
        <w:rPr>
          <w:sz w:val="18"/>
          <w:szCs w:val="18"/>
        </w:rPr>
        <w:t xml:space="preserve"> Report </w:t>
      </w:r>
      <w:r w:rsidR="007E01D6" w:rsidRPr="00CA6B15">
        <w:rPr>
          <w:sz w:val="18"/>
          <w:szCs w:val="18"/>
        </w:rPr>
        <w:t>and</w:t>
      </w:r>
      <w:r w:rsidRPr="00CA6B15">
        <w:rPr>
          <w:sz w:val="18"/>
          <w:szCs w:val="18"/>
        </w:rPr>
        <w:t xml:space="preserve"> Directors' Report. </w:t>
      </w:r>
    </w:p>
    <w:p w14:paraId="0A98730E" w14:textId="77777777" w:rsidR="007E01D6" w:rsidRPr="00CA6B15" w:rsidRDefault="007E01D6">
      <w:pPr>
        <w:widowControl/>
        <w:spacing w:before="0" w:after="0"/>
        <w:jc w:val="left"/>
      </w:pPr>
    </w:p>
    <w:p w14:paraId="15829C1B" w14:textId="77777777" w:rsidR="00FF1E2B" w:rsidRPr="00CA6B15" w:rsidRDefault="00FF1E2B" w:rsidP="00737882">
      <w:pPr>
        <w:spacing w:after="0"/>
        <w:rPr>
          <w:b/>
          <w:bCs/>
        </w:rPr>
      </w:pPr>
    </w:p>
    <w:p w14:paraId="4EAB7E3E" w14:textId="77777777" w:rsidR="00FF1E2B" w:rsidRPr="00CA6B15" w:rsidRDefault="00FF1E2B" w:rsidP="00737882">
      <w:pPr>
        <w:spacing w:after="0"/>
        <w:rPr>
          <w:b/>
          <w:bCs/>
        </w:rPr>
      </w:pPr>
    </w:p>
    <w:p w14:paraId="2416E079" w14:textId="77777777" w:rsidR="007E01D6" w:rsidRPr="00CA6B15" w:rsidRDefault="00AE0473" w:rsidP="00737882">
      <w:pPr>
        <w:spacing w:after="0"/>
        <w:rPr>
          <w:b/>
          <w:bCs/>
        </w:rPr>
      </w:pPr>
      <w:r w:rsidRPr="00CA6B15">
        <w:rPr>
          <w:b/>
          <w:bCs/>
        </w:rPr>
        <w:t xml:space="preserve">Growth Strategy and </w:t>
      </w:r>
      <w:r w:rsidR="007E01D6" w:rsidRPr="00CA6B15">
        <w:rPr>
          <w:b/>
          <w:bCs/>
        </w:rPr>
        <w:t>Outlook</w:t>
      </w:r>
      <w:r w:rsidRPr="00CA6B15">
        <w:rPr>
          <w:b/>
          <w:bCs/>
        </w:rPr>
        <w:t xml:space="preserve"> </w:t>
      </w:r>
    </w:p>
    <w:p w14:paraId="1CAE5488" w14:textId="77777777" w:rsidR="007E01D6" w:rsidRPr="00CA6B15" w:rsidRDefault="00AE0473" w:rsidP="002270E1">
      <w:pPr>
        <w:widowControl/>
        <w:spacing w:after="0"/>
        <w:rPr>
          <w:sz w:val="18"/>
          <w:szCs w:val="18"/>
        </w:rPr>
      </w:pPr>
      <w:r w:rsidRPr="00CA6B15">
        <w:rPr>
          <w:sz w:val="18"/>
          <w:szCs w:val="18"/>
        </w:rPr>
        <w:t xml:space="preserve">The </w:t>
      </w:r>
      <w:r w:rsidR="007E01D6" w:rsidRPr="00CA6B15">
        <w:rPr>
          <w:sz w:val="18"/>
          <w:szCs w:val="18"/>
        </w:rPr>
        <w:t>Company’s</w:t>
      </w:r>
      <w:r w:rsidRPr="00CA6B15">
        <w:rPr>
          <w:sz w:val="18"/>
          <w:szCs w:val="18"/>
        </w:rPr>
        <w:t xml:space="preserve"> near-te</w:t>
      </w:r>
      <w:r w:rsidR="007E01D6" w:rsidRPr="00CA6B15">
        <w:rPr>
          <w:sz w:val="18"/>
          <w:szCs w:val="18"/>
        </w:rPr>
        <w:t>rm</w:t>
      </w:r>
      <w:r w:rsidRPr="00CA6B15">
        <w:rPr>
          <w:sz w:val="18"/>
          <w:szCs w:val="18"/>
        </w:rPr>
        <w:t xml:space="preserve"> goals a</w:t>
      </w:r>
      <w:r w:rsidR="007E01D6" w:rsidRPr="00CA6B15">
        <w:rPr>
          <w:sz w:val="18"/>
          <w:szCs w:val="18"/>
        </w:rPr>
        <w:t>r</w:t>
      </w:r>
      <w:r w:rsidRPr="00CA6B15">
        <w:rPr>
          <w:sz w:val="18"/>
          <w:szCs w:val="18"/>
        </w:rPr>
        <w:t xml:space="preserve">e to </w:t>
      </w:r>
      <w:r w:rsidR="007E01D6" w:rsidRPr="00CA6B15">
        <w:rPr>
          <w:sz w:val="18"/>
          <w:szCs w:val="18"/>
        </w:rPr>
        <w:t>execute</w:t>
      </w:r>
      <w:r w:rsidRPr="00CA6B15">
        <w:rPr>
          <w:sz w:val="18"/>
          <w:szCs w:val="18"/>
        </w:rPr>
        <w:t xml:space="preserve"> its </w:t>
      </w:r>
      <w:r w:rsidR="002270E1" w:rsidRPr="00CA6B15">
        <w:rPr>
          <w:sz w:val="18"/>
          <w:szCs w:val="18"/>
        </w:rPr>
        <w:t>A</w:t>
      </w:r>
      <w:r w:rsidRPr="00CA6B15">
        <w:rPr>
          <w:sz w:val="18"/>
          <w:szCs w:val="18"/>
        </w:rPr>
        <w:t>cquisition strategy</w:t>
      </w:r>
      <w:r w:rsidR="00247B5F" w:rsidRPr="00CA6B15">
        <w:rPr>
          <w:sz w:val="18"/>
          <w:szCs w:val="18"/>
        </w:rPr>
        <w:t xml:space="preserve"> and complete the Proposed Transa</w:t>
      </w:r>
      <w:r w:rsidR="00C40C87" w:rsidRPr="00CA6B15">
        <w:rPr>
          <w:sz w:val="18"/>
          <w:szCs w:val="18"/>
        </w:rPr>
        <w:t>c</w:t>
      </w:r>
      <w:r w:rsidR="00247B5F" w:rsidRPr="00CA6B15">
        <w:rPr>
          <w:sz w:val="18"/>
          <w:szCs w:val="18"/>
        </w:rPr>
        <w:t>tion</w:t>
      </w:r>
      <w:r w:rsidRPr="00CA6B15">
        <w:rPr>
          <w:sz w:val="18"/>
          <w:szCs w:val="18"/>
        </w:rPr>
        <w:t>. ln t</w:t>
      </w:r>
      <w:r w:rsidR="007E01D6" w:rsidRPr="00CA6B15">
        <w:rPr>
          <w:sz w:val="18"/>
          <w:szCs w:val="18"/>
        </w:rPr>
        <w:t>h</w:t>
      </w:r>
      <w:r w:rsidRPr="00CA6B15">
        <w:rPr>
          <w:sz w:val="18"/>
          <w:szCs w:val="18"/>
        </w:rPr>
        <w:t>e event of t</w:t>
      </w:r>
      <w:r w:rsidR="007E01D6" w:rsidRPr="00CA6B15">
        <w:rPr>
          <w:sz w:val="18"/>
          <w:szCs w:val="18"/>
        </w:rPr>
        <w:t>h</w:t>
      </w:r>
      <w:r w:rsidRPr="00CA6B15">
        <w:rPr>
          <w:sz w:val="18"/>
          <w:szCs w:val="18"/>
        </w:rPr>
        <w:t xml:space="preserve">e </w:t>
      </w:r>
      <w:r w:rsidR="007E01D6" w:rsidRPr="00CA6B15">
        <w:rPr>
          <w:sz w:val="18"/>
          <w:szCs w:val="18"/>
        </w:rPr>
        <w:t>completion</w:t>
      </w:r>
      <w:r w:rsidRPr="00CA6B15">
        <w:rPr>
          <w:sz w:val="18"/>
          <w:szCs w:val="18"/>
        </w:rPr>
        <w:t xml:space="preserve"> of t</w:t>
      </w:r>
      <w:r w:rsidR="007E01D6" w:rsidRPr="00CA6B15">
        <w:rPr>
          <w:sz w:val="18"/>
          <w:szCs w:val="18"/>
        </w:rPr>
        <w:t>h</w:t>
      </w:r>
      <w:r w:rsidRPr="00CA6B15">
        <w:rPr>
          <w:sz w:val="18"/>
          <w:szCs w:val="18"/>
        </w:rPr>
        <w:t xml:space="preserve">e </w:t>
      </w:r>
      <w:r w:rsidR="00247B5F" w:rsidRPr="00CA6B15">
        <w:rPr>
          <w:sz w:val="18"/>
          <w:szCs w:val="18"/>
        </w:rPr>
        <w:t>Proposed Transaction</w:t>
      </w:r>
      <w:r w:rsidR="007E01D6" w:rsidRPr="00CA6B15">
        <w:rPr>
          <w:sz w:val="18"/>
          <w:szCs w:val="18"/>
        </w:rPr>
        <w:t>,</w:t>
      </w:r>
      <w:r w:rsidRPr="00CA6B15">
        <w:rPr>
          <w:sz w:val="18"/>
          <w:szCs w:val="18"/>
        </w:rPr>
        <w:t xml:space="preserve"> t</w:t>
      </w:r>
      <w:r w:rsidR="007E01D6" w:rsidRPr="00CA6B15">
        <w:rPr>
          <w:sz w:val="18"/>
          <w:szCs w:val="18"/>
        </w:rPr>
        <w:t>h</w:t>
      </w:r>
      <w:r w:rsidRPr="00CA6B15">
        <w:rPr>
          <w:sz w:val="18"/>
          <w:szCs w:val="18"/>
        </w:rPr>
        <w:t xml:space="preserve">e </w:t>
      </w:r>
      <w:r w:rsidR="007E01D6" w:rsidRPr="00CA6B15">
        <w:rPr>
          <w:sz w:val="18"/>
          <w:szCs w:val="18"/>
        </w:rPr>
        <w:t>Board</w:t>
      </w:r>
      <w:r w:rsidRPr="00CA6B15">
        <w:rPr>
          <w:sz w:val="18"/>
          <w:szCs w:val="18"/>
        </w:rPr>
        <w:t xml:space="preserve"> expects the </w:t>
      </w:r>
      <w:r w:rsidR="007E01D6" w:rsidRPr="00CA6B15">
        <w:rPr>
          <w:sz w:val="18"/>
          <w:szCs w:val="18"/>
        </w:rPr>
        <w:t>immediat</w:t>
      </w:r>
      <w:r w:rsidRPr="00CA6B15">
        <w:rPr>
          <w:sz w:val="18"/>
          <w:szCs w:val="18"/>
        </w:rPr>
        <w:t>e foc</w:t>
      </w:r>
      <w:r w:rsidR="007E01D6" w:rsidRPr="00CA6B15">
        <w:rPr>
          <w:sz w:val="18"/>
          <w:szCs w:val="18"/>
        </w:rPr>
        <w:t xml:space="preserve">us </w:t>
      </w:r>
      <w:r w:rsidRPr="00CA6B15">
        <w:rPr>
          <w:sz w:val="18"/>
          <w:szCs w:val="18"/>
        </w:rPr>
        <w:t xml:space="preserve">to be on </w:t>
      </w:r>
      <w:r w:rsidR="007E01D6" w:rsidRPr="00CA6B15">
        <w:rPr>
          <w:sz w:val="18"/>
          <w:szCs w:val="18"/>
        </w:rPr>
        <w:t xml:space="preserve">developing the </w:t>
      </w:r>
      <w:r w:rsidR="00513E60" w:rsidRPr="00CA6B15">
        <w:rPr>
          <w:sz w:val="18"/>
          <w:szCs w:val="18"/>
        </w:rPr>
        <w:t>LNGP</w:t>
      </w:r>
      <w:r w:rsidR="007E01D6" w:rsidRPr="00CA6B15">
        <w:rPr>
          <w:sz w:val="18"/>
          <w:szCs w:val="18"/>
        </w:rPr>
        <w:t>.</w:t>
      </w:r>
    </w:p>
    <w:p w14:paraId="66ED9F53" w14:textId="77777777" w:rsidR="002270E1" w:rsidRPr="00CA6B15" w:rsidRDefault="002270E1" w:rsidP="00737882">
      <w:pPr>
        <w:spacing w:after="0"/>
        <w:rPr>
          <w:b/>
          <w:bCs/>
        </w:rPr>
      </w:pPr>
    </w:p>
    <w:p w14:paraId="45061CA7" w14:textId="77777777" w:rsidR="00575C6D" w:rsidRPr="00CA6B15" w:rsidRDefault="007E01D6" w:rsidP="00737882">
      <w:pPr>
        <w:spacing w:after="0"/>
        <w:rPr>
          <w:b/>
          <w:bCs/>
        </w:rPr>
      </w:pPr>
      <w:r w:rsidRPr="00CA6B15">
        <w:rPr>
          <w:b/>
          <w:bCs/>
        </w:rPr>
        <w:t>Going Concern</w:t>
      </w:r>
    </w:p>
    <w:p w14:paraId="168602EB" w14:textId="77777777" w:rsidR="00575C6D" w:rsidRDefault="00575C6D" w:rsidP="00575C6D">
      <w:pPr>
        <w:contextualSpacing/>
        <w:rPr>
          <w:sz w:val="18"/>
          <w:szCs w:val="18"/>
        </w:rPr>
      </w:pPr>
    </w:p>
    <w:p w14:paraId="2E2AB974" w14:textId="77777777" w:rsidR="00575C6D" w:rsidRPr="00B12EBB" w:rsidRDefault="00575C6D" w:rsidP="00786A78">
      <w:pPr>
        <w:contextualSpacing/>
        <w:rPr>
          <w:sz w:val="18"/>
          <w:szCs w:val="18"/>
        </w:rPr>
      </w:pPr>
      <w:r w:rsidRPr="00B12EBB">
        <w:rPr>
          <w:sz w:val="18"/>
          <w:szCs w:val="18"/>
        </w:rPr>
        <w:t xml:space="preserve">These financial statements are prepared on the going concern basis. The going concern basis assumes that the Company will continue in operation for the </w:t>
      </w:r>
      <w:r w:rsidRPr="00B12EBB">
        <w:rPr>
          <w:rFonts w:cs="Arial"/>
          <w:sz w:val="18"/>
          <w:szCs w:val="18"/>
          <w:lang w:eastAsia="en-GB"/>
        </w:rPr>
        <w:t>foreseeable</w:t>
      </w:r>
      <w:r w:rsidRPr="00B12EBB">
        <w:rPr>
          <w:sz w:val="18"/>
          <w:szCs w:val="18"/>
        </w:rPr>
        <w:t xml:space="preserve"> future and will be able to realise its assets and discharge its liabilities and commitments in the normal course of </w:t>
      </w:r>
      <w:r w:rsidRPr="00B12EBB">
        <w:rPr>
          <w:rFonts w:cs="Arial"/>
          <w:sz w:val="18"/>
          <w:szCs w:val="18"/>
          <w:lang w:eastAsia="en-GB"/>
        </w:rPr>
        <w:t>business</w:t>
      </w:r>
      <w:r w:rsidRPr="00B12EBB">
        <w:rPr>
          <w:sz w:val="18"/>
          <w:szCs w:val="18"/>
        </w:rPr>
        <w:t xml:space="preserve">. </w:t>
      </w:r>
    </w:p>
    <w:p w14:paraId="381966F1" w14:textId="77777777" w:rsidR="00575C6D" w:rsidRPr="00B12EBB" w:rsidRDefault="00575C6D" w:rsidP="00575C6D">
      <w:pPr>
        <w:ind w:left="426"/>
        <w:contextualSpacing/>
        <w:rPr>
          <w:sz w:val="18"/>
          <w:szCs w:val="18"/>
        </w:rPr>
      </w:pPr>
    </w:p>
    <w:p w14:paraId="418EF02F" w14:textId="2E2AE8A2" w:rsidR="00575C6D" w:rsidRPr="00B12EBB" w:rsidRDefault="00575C6D" w:rsidP="00786A78">
      <w:pPr>
        <w:contextualSpacing/>
        <w:rPr>
          <w:sz w:val="18"/>
          <w:szCs w:val="18"/>
        </w:rPr>
      </w:pPr>
      <w:r w:rsidRPr="00B12EBB">
        <w:rPr>
          <w:sz w:val="18"/>
          <w:szCs w:val="18"/>
        </w:rPr>
        <w:t xml:space="preserve">The Company has limited administrative expenses associated with its continuing operations and its liabilities are limited to trade payables associated with the administrative </w:t>
      </w:r>
      <w:r w:rsidRPr="00B12EBB">
        <w:rPr>
          <w:rFonts w:cs="Arial"/>
          <w:sz w:val="18"/>
          <w:szCs w:val="18"/>
          <w:lang w:eastAsia="en-GB"/>
        </w:rPr>
        <w:t>expenditure</w:t>
      </w:r>
      <w:r w:rsidRPr="00B12EBB">
        <w:rPr>
          <w:sz w:val="18"/>
          <w:szCs w:val="18"/>
        </w:rPr>
        <w:t xml:space="preserve">. The </w:t>
      </w:r>
      <w:r w:rsidRPr="00B12EBB">
        <w:rPr>
          <w:rFonts w:cs="Arial"/>
          <w:sz w:val="18"/>
          <w:szCs w:val="18"/>
          <w:lang w:eastAsia="en-GB"/>
        </w:rPr>
        <w:t>Directors</w:t>
      </w:r>
      <w:r w:rsidRPr="00B12EBB">
        <w:rPr>
          <w:sz w:val="18"/>
          <w:szCs w:val="18"/>
        </w:rPr>
        <w:t xml:space="preserve"> have prepared budgetary forecasts for the period ended 30 June 2024, considering operating cashflows and expenditure requirements for the Company.  The Company has also received indications of support from its three largest shareholders (and warrant holders) who </w:t>
      </w:r>
      <w:r w:rsidR="00761544">
        <w:rPr>
          <w:sz w:val="18"/>
          <w:szCs w:val="18"/>
        </w:rPr>
        <w:t>may</w:t>
      </w:r>
      <w:r w:rsidRPr="00B12EBB">
        <w:rPr>
          <w:sz w:val="18"/>
          <w:szCs w:val="18"/>
        </w:rPr>
        <w:t xml:space="preserve"> provide additional funding to the Company</w:t>
      </w:r>
      <w:r w:rsidR="00EF0AF1">
        <w:rPr>
          <w:sz w:val="18"/>
          <w:szCs w:val="18"/>
        </w:rPr>
        <w:t>, via exercise of their warrants or other means of funding provision,</w:t>
      </w:r>
      <w:r w:rsidRPr="00B12EBB">
        <w:rPr>
          <w:sz w:val="18"/>
          <w:szCs w:val="18"/>
        </w:rPr>
        <w:t xml:space="preserve"> should this be required to facilitate meetings its ongoing cash requirements.</w:t>
      </w:r>
    </w:p>
    <w:p w14:paraId="23A1239A" w14:textId="77777777" w:rsidR="00575C6D" w:rsidRPr="00B12EBB" w:rsidRDefault="00575C6D" w:rsidP="00575C6D">
      <w:pPr>
        <w:ind w:left="426"/>
        <w:contextualSpacing/>
        <w:rPr>
          <w:sz w:val="18"/>
          <w:szCs w:val="18"/>
        </w:rPr>
      </w:pPr>
    </w:p>
    <w:p w14:paraId="1BF4DBFD" w14:textId="45FCADA5" w:rsidR="007E6712" w:rsidRPr="00CA6B15" w:rsidRDefault="00575C6D" w:rsidP="00737882">
      <w:pPr>
        <w:widowControl/>
        <w:spacing w:after="0"/>
        <w:rPr>
          <w:sz w:val="18"/>
          <w:szCs w:val="18"/>
        </w:rPr>
      </w:pPr>
      <w:r>
        <w:rPr>
          <w:sz w:val="18"/>
          <w:szCs w:val="18"/>
        </w:rPr>
        <w:t>However, in order for the Company to be able to continue operating as a going concern, it will require additional funding in the near term.  Whilst the directors remain confident that such funding will be available, including the potential provision of financial support by the above referenced warrant holders, there can be no certainty that such funding will be available as and when it becomes necessary to continue to meet the ongoing needs of the business.   As a result,</w:t>
      </w:r>
      <w:r w:rsidRPr="00B12EBB">
        <w:rPr>
          <w:sz w:val="18"/>
          <w:szCs w:val="18"/>
        </w:rPr>
        <w:t xml:space="preserve"> there exists a material uncertainty which may cast significant doubt on the Company’s ability to continue as a going concern. The financial statements do not include any adjustments that would result if the Group was unable to continue as a going concern.</w:t>
      </w:r>
    </w:p>
    <w:p w14:paraId="1BA84BEF" w14:textId="77777777" w:rsidR="007E01D6" w:rsidRPr="00CA6B15" w:rsidRDefault="007E01D6" w:rsidP="007E01D6">
      <w:pPr>
        <w:spacing w:after="0"/>
        <w:rPr>
          <w:rFonts w:cs="Arial"/>
          <w:sz w:val="18"/>
          <w:szCs w:val="18"/>
          <w:lang w:eastAsia="en-GB"/>
        </w:rPr>
      </w:pPr>
      <w:r w:rsidRPr="00CA6B15">
        <w:rPr>
          <w:rFonts w:cs="Arial"/>
          <w:sz w:val="18"/>
          <w:szCs w:val="18"/>
          <w:lang w:eastAsia="en-GB"/>
        </w:rPr>
        <w:t xml:space="preserve">On behalf of the Board, </w:t>
      </w:r>
    </w:p>
    <w:p w14:paraId="1C4DA193" w14:textId="77777777" w:rsidR="00524E07" w:rsidRPr="00CA6B15" w:rsidRDefault="00524E07" w:rsidP="007E01D6">
      <w:pPr>
        <w:spacing w:after="0"/>
        <w:rPr>
          <w:rFonts w:cs="Arial"/>
          <w:sz w:val="18"/>
          <w:szCs w:val="18"/>
          <w:lang w:eastAsia="en-GB"/>
        </w:rPr>
      </w:pPr>
    </w:p>
    <w:p w14:paraId="693C56E5" w14:textId="77777777" w:rsidR="00524E07" w:rsidRPr="00CA6B15" w:rsidRDefault="00524E07" w:rsidP="007E01D6">
      <w:pPr>
        <w:spacing w:after="0"/>
        <w:rPr>
          <w:rFonts w:cs="Arial"/>
          <w:sz w:val="18"/>
          <w:szCs w:val="18"/>
          <w:lang w:eastAsia="en-GB"/>
        </w:rPr>
      </w:pPr>
    </w:p>
    <w:p w14:paraId="4ADE8EDE" w14:textId="77777777" w:rsidR="007E01D6" w:rsidRPr="00CA6B15" w:rsidRDefault="00F10D75" w:rsidP="00F10D75">
      <w:pPr>
        <w:spacing w:before="0" w:after="0"/>
        <w:rPr>
          <w:rFonts w:cs="Arial"/>
          <w:b/>
          <w:bCs/>
          <w:sz w:val="18"/>
          <w:szCs w:val="18"/>
          <w:lang w:eastAsia="en-GB"/>
        </w:rPr>
      </w:pPr>
      <w:r w:rsidRPr="00CA6B15">
        <w:rPr>
          <w:rFonts w:cs="Arial"/>
          <w:b/>
          <w:bCs/>
          <w:sz w:val="18"/>
          <w:szCs w:val="18"/>
          <w:lang w:eastAsia="en-GB"/>
        </w:rPr>
        <w:t>Roy Pitchford</w:t>
      </w:r>
    </w:p>
    <w:p w14:paraId="571BC844" w14:textId="77777777" w:rsidR="00DE12DE" w:rsidRPr="00CA6B15" w:rsidRDefault="007E01D6" w:rsidP="00B96132">
      <w:pPr>
        <w:spacing w:before="0" w:after="0"/>
        <w:rPr>
          <w:rFonts w:ascii="Times New Roman" w:hAnsi="Times New Roman"/>
          <w:sz w:val="24"/>
          <w:szCs w:val="24"/>
        </w:rPr>
      </w:pPr>
      <w:r w:rsidRPr="00CA6B15">
        <w:rPr>
          <w:rFonts w:cs="Arial"/>
          <w:i/>
          <w:iCs/>
          <w:sz w:val="18"/>
          <w:szCs w:val="18"/>
          <w:lang w:eastAsia="en-GB"/>
        </w:rPr>
        <w:t>Director</w:t>
      </w:r>
    </w:p>
    <w:p w14:paraId="5FDECEF0" w14:textId="3F2B5DE7" w:rsidR="00E922D3" w:rsidRPr="00CD1113" w:rsidRDefault="008354DF" w:rsidP="00CD1113">
      <w:pPr>
        <w:spacing w:after="0"/>
        <w:rPr>
          <w:rFonts w:cs="Arial"/>
          <w:sz w:val="18"/>
          <w:szCs w:val="18"/>
          <w:lang w:eastAsia="en-GB"/>
        </w:rPr>
        <w:sectPr w:rsidR="00E922D3" w:rsidRPr="00CD1113" w:rsidSect="00E514DB">
          <w:headerReference w:type="default" r:id="rId15"/>
          <w:footerReference w:type="default" r:id="rId16"/>
          <w:headerReference w:type="first" r:id="rId17"/>
          <w:pgSz w:w="11906" w:h="16838"/>
          <w:pgMar w:top="1459" w:right="1440" w:bottom="1440" w:left="1440" w:header="571" w:footer="708" w:gutter="0"/>
          <w:cols w:space="708"/>
          <w:titlePg/>
          <w:docGrid w:linePitch="360"/>
        </w:sectPr>
      </w:pPr>
      <w:r>
        <w:rPr>
          <w:rFonts w:cs="Arial"/>
          <w:sz w:val="18"/>
          <w:szCs w:val="18"/>
          <w:lang w:eastAsia="en-GB"/>
        </w:rPr>
        <w:t>26</w:t>
      </w:r>
      <w:r w:rsidR="00E922D3" w:rsidRPr="00CA6B15">
        <w:rPr>
          <w:rFonts w:cs="Arial"/>
          <w:sz w:val="18"/>
          <w:szCs w:val="18"/>
          <w:lang w:eastAsia="en-GB"/>
        </w:rPr>
        <w:t xml:space="preserve"> </w:t>
      </w:r>
      <w:r w:rsidR="00647FF5" w:rsidRPr="00CA6B15">
        <w:rPr>
          <w:rFonts w:cs="Arial"/>
          <w:sz w:val="18"/>
          <w:szCs w:val="18"/>
          <w:lang w:eastAsia="en-GB"/>
        </w:rPr>
        <w:t xml:space="preserve">May </w:t>
      </w:r>
      <w:r w:rsidR="00E922D3" w:rsidRPr="00CA6B15">
        <w:rPr>
          <w:rFonts w:cs="Arial"/>
          <w:sz w:val="18"/>
          <w:szCs w:val="18"/>
          <w:lang w:eastAsia="en-GB"/>
        </w:rPr>
        <w:t>202</w:t>
      </w:r>
      <w:r w:rsidR="00F73BDE">
        <w:rPr>
          <w:rFonts w:cs="Arial"/>
          <w:sz w:val="18"/>
          <w:szCs w:val="18"/>
          <w:lang w:eastAsia="en-GB"/>
        </w:rPr>
        <w:t>3</w:t>
      </w:r>
    </w:p>
    <w:p w14:paraId="01B5BF28" w14:textId="77777777" w:rsidR="00202E27" w:rsidRPr="004856E9" w:rsidRDefault="003F6B1F">
      <w:pPr>
        <w:widowControl/>
        <w:spacing w:before="0" w:after="0"/>
        <w:jc w:val="left"/>
        <w:rPr>
          <w:rFonts w:cstheme="minorHAnsi"/>
          <w:b/>
          <w:bCs/>
          <w:szCs w:val="20"/>
        </w:rPr>
      </w:pPr>
      <w:r>
        <w:rPr>
          <w:rFonts w:cs="Arial"/>
          <w:sz w:val="18"/>
          <w:szCs w:val="18"/>
          <w:lang w:eastAsia="en-GB"/>
        </w:rPr>
        <w:br w:type="page"/>
      </w:r>
      <w:r w:rsidR="00F10D75" w:rsidRPr="004856E9">
        <w:rPr>
          <w:rFonts w:cstheme="minorHAnsi"/>
          <w:b/>
          <w:bCs/>
          <w:szCs w:val="20"/>
        </w:rPr>
        <w:lastRenderedPageBreak/>
        <w:t>BOARD OF DIRECTORS</w:t>
      </w:r>
    </w:p>
    <w:p w14:paraId="34731F93" w14:textId="77777777" w:rsidR="00202E27" w:rsidRPr="004856E9" w:rsidRDefault="00202E27">
      <w:pPr>
        <w:widowControl/>
        <w:spacing w:before="0" w:after="0"/>
        <w:jc w:val="left"/>
        <w:rPr>
          <w:rFonts w:cstheme="minorHAnsi"/>
          <w:b/>
          <w:bCs/>
          <w:szCs w:val="20"/>
        </w:rPr>
      </w:pPr>
    </w:p>
    <w:p w14:paraId="3F8F0D2B" w14:textId="77777777" w:rsidR="00DB4C98" w:rsidRPr="004856E9" w:rsidRDefault="00DB4C98" w:rsidP="00DB4C98">
      <w:pPr>
        <w:autoSpaceDE w:val="0"/>
        <w:autoSpaceDN w:val="0"/>
        <w:adjustRightInd w:val="0"/>
        <w:spacing w:after="0"/>
        <w:rPr>
          <w:rFonts w:cstheme="minorHAnsi"/>
          <w:b/>
          <w:bCs/>
          <w:color w:val="000000"/>
          <w:sz w:val="18"/>
          <w:szCs w:val="18"/>
        </w:rPr>
      </w:pPr>
      <w:r w:rsidRPr="004856E9">
        <w:rPr>
          <w:rFonts w:cstheme="minorHAnsi"/>
          <w:b/>
          <w:bCs/>
          <w:color w:val="000000"/>
          <w:sz w:val="18"/>
          <w:szCs w:val="18"/>
        </w:rPr>
        <w:t>Roy Pitchford - Chairman</w:t>
      </w:r>
    </w:p>
    <w:p w14:paraId="6DF8EF07" w14:textId="77777777" w:rsidR="00DB4C98" w:rsidRPr="004856E9" w:rsidRDefault="00DB4C98" w:rsidP="00DB4C98">
      <w:pPr>
        <w:pStyle w:val="font8"/>
        <w:spacing w:before="0" w:beforeAutospacing="0" w:after="0" w:afterAutospacing="0"/>
        <w:textAlignment w:val="baseline"/>
        <w:rPr>
          <w:rFonts w:asciiTheme="minorHAnsi" w:eastAsia="SimSun" w:hAnsiTheme="minorHAnsi"/>
          <w:kern w:val="2"/>
          <w:sz w:val="18"/>
          <w:szCs w:val="18"/>
          <w:lang w:eastAsia="zh-CN"/>
        </w:rPr>
      </w:pPr>
    </w:p>
    <w:p w14:paraId="01F6D988" w14:textId="77777777" w:rsidR="00DB4C98" w:rsidRPr="004856E9" w:rsidRDefault="00FE19B3"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xml:space="preserve">Roy </w:t>
      </w:r>
      <w:r w:rsidR="00DB4C98" w:rsidRPr="004856E9">
        <w:rPr>
          <w:rFonts w:asciiTheme="minorHAnsi" w:eastAsia="SimSun" w:hAnsiTheme="minorHAnsi"/>
          <w:kern w:val="2"/>
          <w:sz w:val="18"/>
          <w:szCs w:val="18"/>
          <w:lang w:eastAsia="zh-CN"/>
        </w:rPr>
        <w:t>brings over 30 years’ executive and managerial expertise as well as a proven track record in Southern Africa in the junior mining industry</w:t>
      </w:r>
      <w:r w:rsidRPr="004856E9">
        <w:rPr>
          <w:rFonts w:asciiTheme="minorHAnsi" w:eastAsia="SimSun" w:hAnsiTheme="minorHAnsi"/>
          <w:kern w:val="2"/>
          <w:sz w:val="18"/>
          <w:szCs w:val="18"/>
          <w:lang w:eastAsia="zh-CN"/>
        </w:rPr>
        <w:t xml:space="preserve"> to the Company</w:t>
      </w:r>
      <w:r w:rsidR="00DB4C98" w:rsidRPr="004856E9">
        <w:rPr>
          <w:rFonts w:asciiTheme="minorHAnsi" w:eastAsia="SimSun" w:hAnsiTheme="minorHAnsi"/>
          <w:kern w:val="2"/>
          <w:sz w:val="18"/>
          <w:szCs w:val="18"/>
          <w:lang w:eastAsia="zh-CN"/>
        </w:rPr>
        <w:t>. Roy has particular responsibilities for co-ordinating and reviewing potential reverse takeover targets.  </w:t>
      </w:r>
    </w:p>
    <w:p w14:paraId="7603DECA" w14:textId="77777777" w:rsidR="00DB4C98" w:rsidRPr="004856E9"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w:t>
      </w:r>
    </w:p>
    <w:p w14:paraId="0D86E7EB" w14:textId="77777777" w:rsidR="00DB4C98" w:rsidRPr="004856E9"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xml:space="preserve">During his career in the resource development arena </w:t>
      </w:r>
      <w:r w:rsidR="00114C40" w:rsidRPr="004856E9">
        <w:rPr>
          <w:rFonts w:asciiTheme="minorHAnsi" w:eastAsia="SimSun" w:hAnsiTheme="minorHAnsi"/>
          <w:kern w:val="2"/>
          <w:sz w:val="18"/>
          <w:szCs w:val="18"/>
          <w:lang w:eastAsia="zh-CN"/>
        </w:rPr>
        <w:t>Roy</w:t>
      </w:r>
      <w:r w:rsidRPr="004856E9">
        <w:rPr>
          <w:rFonts w:asciiTheme="minorHAnsi" w:eastAsia="SimSun" w:hAnsiTheme="minorHAnsi"/>
          <w:kern w:val="2"/>
          <w:sz w:val="18"/>
          <w:szCs w:val="18"/>
          <w:lang w:eastAsia="zh-CN"/>
        </w:rPr>
        <w:t xml:space="preserve"> has held the position of Chief Executive Officer for </w:t>
      </w:r>
      <w:proofErr w:type="spellStart"/>
      <w:r w:rsidR="00FE19B3" w:rsidRPr="004856E9">
        <w:rPr>
          <w:rFonts w:asciiTheme="minorHAnsi" w:eastAsia="SimSun" w:hAnsiTheme="minorHAnsi"/>
          <w:kern w:val="2"/>
          <w:sz w:val="18"/>
          <w:szCs w:val="18"/>
          <w:lang w:eastAsia="zh-CN"/>
        </w:rPr>
        <w:t>Cluff</w:t>
      </w:r>
      <w:proofErr w:type="spellEnd"/>
      <w:r w:rsidR="00FE19B3" w:rsidRPr="004856E9">
        <w:rPr>
          <w:rFonts w:asciiTheme="minorHAnsi" w:eastAsia="SimSun" w:hAnsiTheme="minorHAnsi"/>
          <w:kern w:val="2"/>
          <w:sz w:val="18"/>
          <w:szCs w:val="18"/>
          <w:lang w:eastAsia="zh-CN"/>
        </w:rPr>
        <w:t xml:space="preserve"> Resources Zimbabwe Ltd, </w:t>
      </w:r>
      <w:proofErr w:type="spellStart"/>
      <w:r w:rsidR="00FE19B3" w:rsidRPr="004856E9">
        <w:rPr>
          <w:rFonts w:asciiTheme="minorHAnsi" w:eastAsia="SimSun" w:hAnsiTheme="minorHAnsi"/>
          <w:kern w:val="2"/>
          <w:sz w:val="18"/>
          <w:szCs w:val="18"/>
          <w:lang w:eastAsia="zh-CN"/>
        </w:rPr>
        <w:t>Masasa</w:t>
      </w:r>
      <w:proofErr w:type="spellEnd"/>
      <w:r w:rsidR="00FE19B3" w:rsidRPr="004856E9">
        <w:rPr>
          <w:rFonts w:asciiTheme="minorHAnsi" w:eastAsia="SimSun" w:hAnsiTheme="minorHAnsi"/>
          <w:kern w:val="2"/>
          <w:sz w:val="18"/>
          <w:szCs w:val="18"/>
          <w:lang w:eastAsia="zh-CN"/>
        </w:rPr>
        <w:t xml:space="preserve"> Mines (Pvt) Ltd, Zimbabwe Platinum Mines Ltd, African Platinum Plc, African Minerals Ltd, </w:t>
      </w:r>
      <w:r w:rsidR="00BC1357" w:rsidRPr="004856E9">
        <w:rPr>
          <w:rFonts w:asciiTheme="minorHAnsi" w:eastAsia="SimSun" w:hAnsiTheme="minorHAnsi"/>
          <w:kern w:val="2"/>
          <w:sz w:val="18"/>
          <w:szCs w:val="18"/>
          <w:lang w:eastAsia="zh-CN"/>
        </w:rPr>
        <w:t xml:space="preserve">and </w:t>
      </w:r>
      <w:r w:rsidR="00FE19B3" w:rsidRPr="004856E9">
        <w:rPr>
          <w:rFonts w:asciiTheme="minorHAnsi" w:eastAsia="SimSun" w:hAnsiTheme="minorHAnsi"/>
          <w:kern w:val="2"/>
          <w:sz w:val="18"/>
          <w:szCs w:val="18"/>
          <w:lang w:eastAsia="zh-CN"/>
        </w:rPr>
        <w:t xml:space="preserve">Vast Resources Plc. </w:t>
      </w:r>
      <w:r w:rsidR="00BC1357" w:rsidRPr="004856E9">
        <w:rPr>
          <w:rFonts w:asciiTheme="minorHAnsi" w:eastAsia="SimSun" w:hAnsiTheme="minorHAnsi"/>
          <w:kern w:val="2"/>
          <w:sz w:val="18"/>
          <w:szCs w:val="18"/>
          <w:lang w:eastAsia="zh-CN"/>
        </w:rPr>
        <w:t xml:space="preserve">He is currently </w:t>
      </w:r>
      <w:r w:rsidR="00CC12B1" w:rsidRPr="004856E9">
        <w:rPr>
          <w:rFonts w:asciiTheme="minorHAnsi" w:eastAsia="SimSun" w:hAnsiTheme="minorHAnsi"/>
          <w:kern w:val="2"/>
          <w:sz w:val="18"/>
          <w:szCs w:val="18"/>
          <w:lang w:eastAsia="zh-CN"/>
        </w:rPr>
        <w:t xml:space="preserve">a </w:t>
      </w:r>
      <w:r w:rsidR="00BC1357" w:rsidRPr="004856E9">
        <w:rPr>
          <w:rFonts w:asciiTheme="minorHAnsi" w:eastAsia="SimSun" w:hAnsiTheme="minorHAnsi"/>
          <w:kern w:val="2"/>
          <w:sz w:val="18"/>
          <w:szCs w:val="18"/>
          <w:lang w:eastAsia="zh-CN"/>
        </w:rPr>
        <w:t>Non-Executive Chairman of Contango Holdings Plc</w:t>
      </w:r>
      <w:r w:rsidR="00CC12B1" w:rsidRPr="004856E9">
        <w:rPr>
          <w:rFonts w:asciiTheme="minorHAnsi" w:eastAsia="SimSun" w:hAnsiTheme="minorHAnsi"/>
          <w:kern w:val="2"/>
          <w:sz w:val="18"/>
          <w:szCs w:val="18"/>
          <w:lang w:eastAsia="zh-CN"/>
        </w:rPr>
        <w:t>.</w:t>
      </w:r>
    </w:p>
    <w:p w14:paraId="0B7BE895" w14:textId="77777777" w:rsidR="00DB4C98" w:rsidRPr="004856E9"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w:t>
      </w:r>
    </w:p>
    <w:p w14:paraId="2B96572D" w14:textId="77777777" w:rsidR="00DB4C98" w:rsidRPr="004856E9"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Roy is a qualified Chartered Accountant (CA (Z)).</w:t>
      </w:r>
    </w:p>
    <w:p w14:paraId="419B11EB" w14:textId="77777777" w:rsidR="00DB4C98" w:rsidRPr="004856E9" w:rsidRDefault="00DB4C98" w:rsidP="00FA3776">
      <w:pPr>
        <w:autoSpaceDE w:val="0"/>
        <w:autoSpaceDN w:val="0"/>
        <w:adjustRightInd w:val="0"/>
        <w:spacing w:after="0"/>
        <w:rPr>
          <w:rFonts w:cstheme="minorHAnsi"/>
          <w:b/>
          <w:bCs/>
          <w:color w:val="000000"/>
          <w:sz w:val="18"/>
          <w:szCs w:val="18"/>
        </w:rPr>
      </w:pPr>
    </w:p>
    <w:p w14:paraId="750B4387" w14:textId="77777777" w:rsidR="00FA3776" w:rsidRPr="004856E9" w:rsidRDefault="00FA3776" w:rsidP="00FA3776">
      <w:pPr>
        <w:autoSpaceDE w:val="0"/>
        <w:autoSpaceDN w:val="0"/>
        <w:adjustRightInd w:val="0"/>
        <w:spacing w:after="0"/>
        <w:rPr>
          <w:rFonts w:cstheme="minorHAnsi"/>
          <w:b/>
          <w:bCs/>
          <w:color w:val="000000"/>
          <w:sz w:val="18"/>
          <w:szCs w:val="18"/>
        </w:rPr>
      </w:pPr>
      <w:proofErr w:type="spellStart"/>
      <w:r w:rsidRPr="004856E9">
        <w:rPr>
          <w:rFonts w:cstheme="minorHAnsi"/>
          <w:b/>
          <w:bCs/>
          <w:color w:val="000000"/>
          <w:sz w:val="18"/>
          <w:szCs w:val="18"/>
        </w:rPr>
        <w:t>Konosoang</w:t>
      </w:r>
      <w:proofErr w:type="spellEnd"/>
      <w:r w:rsidRPr="004856E9">
        <w:rPr>
          <w:rFonts w:cstheme="minorHAnsi"/>
          <w:b/>
          <w:bCs/>
          <w:color w:val="000000"/>
          <w:sz w:val="18"/>
          <w:szCs w:val="18"/>
        </w:rPr>
        <w:t xml:space="preserve"> (</w:t>
      </w:r>
      <w:r w:rsidR="00114C40" w:rsidRPr="004856E9">
        <w:rPr>
          <w:rFonts w:cstheme="minorHAnsi"/>
          <w:b/>
          <w:bCs/>
          <w:color w:val="000000"/>
          <w:sz w:val="18"/>
          <w:szCs w:val="18"/>
        </w:rPr>
        <w:t>“</w:t>
      </w:r>
      <w:r w:rsidRPr="004856E9">
        <w:rPr>
          <w:rFonts w:cstheme="minorHAnsi"/>
          <w:b/>
          <w:bCs/>
          <w:color w:val="000000"/>
          <w:sz w:val="18"/>
          <w:szCs w:val="18"/>
        </w:rPr>
        <w:t>Kay</w:t>
      </w:r>
      <w:r w:rsidR="00114C40" w:rsidRPr="004856E9">
        <w:rPr>
          <w:rFonts w:cstheme="minorHAnsi"/>
          <w:b/>
          <w:bCs/>
          <w:color w:val="000000"/>
          <w:sz w:val="18"/>
          <w:szCs w:val="18"/>
        </w:rPr>
        <w:t>”</w:t>
      </w:r>
      <w:r w:rsidRPr="004856E9">
        <w:rPr>
          <w:rFonts w:cstheme="minorHAnsi"/>
          <w:b/>
          <w:bCs/>
          <w:color w:val="000000"/>
          <w:sz w:val="18"/>
          <w:szCs w:val="18"/>
        </w:rPr>
        <w:t>) Asare-Bediako</w:t>
      </w:r>
      <w:r w:rsidR="00DB4C98" w:rsidRPr="004856E9">
        <w:rPr>
          <w:rFonts w:cstheme="minorHAnsi"/>
          <w:b/>
          <w:bCs/>
          <w:color w:val="000000"/>
          <w:sz w:val="18"/>
          <w:szCs w:val="18"/>
        </w:rPr>
        <w:t xml:space="preserve"> – </w:t>
      </w:r>
      <w:r w:rsidR="001245FF" w:rsidRPr="004856E9">
        <w:rPr>
          <w:rFonts w:cstheme="minorHAnsi"/>
          <w:b/>
          <w:bCs/>
          <w:color w:val="000000"/>
          <w:sz w:val="18"/>
          <w:szCs w:val="18"/>
        </w:rPr>
        <w:t>Non-Executive</w:t>
      </w:r>
      <w:r w:rsidR="00DB4C98" w:rsidRPr="004856E9">
        <w:rPr>
          <w:rFonts w:cstheme="minorHAnsi"/>
          <w:b/>
          <w:bCs/>
          <w:color w:val="000000"/>
          <w:sz w:val="18"/>
          <w:szCs w:val="18"/>
        </w:rPr>
        <w:t xml:space="preserve"> Director</w:t>
      </w:r>
    </w:p>
    <w:p w14:paraId="4C2A861B" w14:textId="77777777" w:rsidR="00361C01" w:rsidRPr="004856E9" w:rsidRDefault="00361C01" w:rsidP="00361C01">
      <w:pPr>
        <w:widowControl/>
        <w:spacing w:before="0" w:after="0"/>
        <w:jc w:val="left"/>
        <w:rPr>
          <w:rFonts w:ascii="Calibri" w:eastAsia="Times New Roman" w:hAnsi="Calibri" w:cs="Calibri"/>
          <w:color w:val="000000"/>
          <w:kern w:val="0"/>
          <w:sz w:val="21"/>
          <w:szCs w:val="21"/>
          <w:lang w:eastAsia="en-GB"/>
        </w:rPr>
      </w:pPr>
    </w:p>
    <w:p w14:paraId="1667A196" w14:textId="77777777" w:rsidR="00361C01"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Kay is an experienced deal maker and business leader, with extensive experience in finance and investment banking. </w:t>
      </w:r>
    </w:p>
    <w:p w14:paraId="20AEC0ED" w14:textId="77777777" w:rsidR="00361C01"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p>
    <w:p w14:paraId="6B2BF7DF" w14:textId="77777777" w:rsidR="00361C01"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Kay is a director at Absa Group within the Investment Banking Division, responsible for the origination and implementation of Investment Banking mandates. Prior to joining Absa Group, Kay was an executive director at Moshe Capital where she headed up the Corporate Finance division. Whilst at Moshe Capital, Kay grew the team from two people in 2015 to twelve in 2020; making Moshe Capital one of the most formidable black, female-owned and managed corporate finance firms in South Africa. In 2019 Moshe Capital was awarded the “Corporate Finance team of the year” by The Association of Black Securities and Investment Professionals.</w:t>
      </w:r>
    </w:p>
    <w:p w14:paraId="10D1138F" w14:textId="77777777" w:rsidR="00361C01"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p>
    <w:p w14:paraId="3FE81E01" w14:textId="77777777" w:rsidR="00361C01"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xml:space="preserve">Before joining Moshe Capital, Kay worked within the Investment Banking Division of Deutsche Bank as a Senior Associate. She is a former director of </w:t>
      </w:r>
      <w:proofErr w:type="spellStart"/>
      <w:r w:rsidRPr="004856E9">
        <w:rPr>
          <w:rFonts w:asciiTheme="minorHAnsi" w:eastAsia="SimSun" w:hAnsiTheme="minorHAnsi"/>
          <w:kern w:val="2"/>
          <w:sz w:val="18"/>
          <w:szCs w:val="18"/>
          <w:lang w:eastAsia="zh-CN"/>
        </w:rPr>
        <w:t>Malundi</w:t>
      </w:r>
      <w:proofErr w:type="spellEnd"/>
      <w:r w:rsidRPr="004856E9">
        <w:rPr>
          <w:rFonts w:asciiTheme="minorHAnsi" w:eastAsia="SimSun" w:hAnsiTheme="minorHAnsi"/>
          <w:kern w:val="2"/>
          <w:sz w:val="18"/>
          <w:szCs w:val="18"/>
          <w:lang w:eastAsia="zh-CN"/>
        </w:rPr>
        <w:t xml:space="preserve"> Coal, a mining investment company, and a former a non-executive director of Yalu Financial Services, a provider of credit life insurance.</w:t>
      </w:r>
    </w:p>
    <w:p w14:paraId="46D3EA06" w14:textId="77777777" w:rsidR="00361C01"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p>
    <w:p w14:paraId="4AC5C3F7" w14:textId="77777777" w:rsidR="00310418" w:rsidRPr="004856E9"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Kay holds a Bachelor of Business Science with Finance Honours from the University of Cape Town and is a qualified chartered accountant (CA(SA)) and a recipient of the Columbia Business School Certificate in Business Excellence.</w:t>
      </w:r>
    </w:p>
    <w:p w14:paraId="1FFBC821" w14:textId="77777777" w:rsidR="00FA3776" w:rsidRPr="004856E9" w:rsidRDefault="00FA3776" w:rsidP="00FA3776">
      <w:pPr>
        <w:autoSpaceDE w:val="0"/>
        <w:autoSpaceDN w:val="0"/>
        <w:adjustRightInd w:val="0"/>
        <w:spacing w:after="0"/>
        <w:rPr>
          <w:rFonts w:cstheme="minorHAnsi"/>
          <w:color w:val="000000"/>
          <w:sz w:val="18"/>
          <w:szCs w:val="18"/>
        </w:rPr>
      </w:pPr>
    </w:p>
    <w:p w14:paraId="193954F6" w14:textId="77777777" w:rsidR="00524E07" w:rsidRPr="004856E9" w:rsidRDefault="00FA3776" w:rsidP="00524E07">
      <w:pPr>
        <w:autoSpaceDE w:val="0"/>
        <w:autoSpaceDN w:val="0"/>
        <w:adjustRightInd w:val="0"/>
        <w:spacing w:after="0"/>
        <w:rPr>
          <w:rFonts w:cstheme="minorHAnsi"/>
          <w:b/>
          <w:bCs/>
          <w:color w:val="000000"/>
          <w:sz w:val="18"/>
          <w:szCs w:val="18"/>
        </w:rPr>
      </w:pPr>
      <w:r w:rsidRPr="004856E9">
        <w:rPr>
          <w:rFonts w:cstheme="minorHAnsi"/>
          <w:b/>
          <w:bCs/>
          <w:color w:val="000000"/>
          <w:sz w:val="18"/>
          <w:szCs w:val="18"/>
        </w:rPr>
        <w:t>Michael</w:t>
      </w:r>
      <w:r w:rsidR="00114C40" w:rsidRPr="004856E9">
        <w:rPr>
          <w:rFonts w:cstheme="minorHAnsi"/>
          <w:b/>
          <w:bCs/>
          <w:color w:val="000000"/>
          <w:sz w:val="18"/>
          <w:szCs w:val="18"/>
        </w:rPr>
        <w:t xml:space="preserve"> (“Mike”)</w:t>
      </w:r>
      <w:r w:rsidRPr="004856E9">
        <w:rPr>
          <w:rFonts w:cstheme="minorHAnsi"/>
          <w:b/>
          <w:bCs/>
          <w:color w:val="000000"/>
          <w:sz w:val="18"/>
          <w:szCs w:val="18"/>
        </w:rPr>
        <w:t xml:space="preserve"> Stewart</w:t>
      </w:r>
      <w:r w:rsidR="00DB4C98" w:rsidRPr="004856E9">
        <w:rPr>
          <w:rFonts w:cstheme="minorHAnsi"/>
          <w:b/>
          <w:bCs/>
          <w:color w:val="000000"/>
          <w:sz w:val="18"/>
          <w:szCs w:val="18"/>
        </w:rPr>
        <w:t xml:space="preserve"> - </w:t>
      </w:r>
      <w:r w:rsidR="001245FF" w:rsidRPr="004856E9">
        <w:rPr>
          <w:rFonts w:cstheme="minorHAnsi"/>
          <w:b/>
          <w:bCs/>
          <w:color w:val="000000"/>
          <w:sz w:val="18"/>
          <w:szCs w:val="18"/>
        </w:rPr>
        <w:t>Non-Executive</w:t>
      </w:r>
      <w:r w:rsidR="00DB4C98" w:rsidRPr="004856E9">
        <w:rPr>
          <w:rFonts w:cstheme="minorHAnsi"/>
          <w:b/>
          <w:bCs/>
          <w:color w:val="000000"/>
          <w:sz w:val="18"/>
          <w:szCs w:val="18"/>
        </w:rPr>
        <w:t xml:space="preserve"> Director</w:t>
      </w:r>
    </w:p>
    <w:p w14:paraId="477D12F8" w14:textId="77777777" w:rsidR="00114C40" w:rsidRPr="004856E9" w:rsidRDefault="00114C40" w:rsidP="00524E07">
      <w:pPr>
        <w:autoSpaceDE w:val="0"/>
        <w:autoSpaceDN w:val="0"/>
        <w:adjustRightInd w:val="0"/>
        <w:spacing w:after="0"/>
        <w:rPr>
          <w:rFonts w:cstheme="minorHAnsi"/>
          <w:b/>
          <w:bCs/>
          <w:color w:val="000000"/>
          <w:sz w:val="2"/>
          <w:szCs w:val="2"/>
        </w:rPr>
      </w:pPr>
    </w:p>
    <w:p w14:paraId="244D9760" w14:textId="77777777" w:rsidR="00310418" w:rsidRPr="004856E9"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xml:space="preserve">Mike is an experienced managing director and chief executive with a track record of delivering rapid, multimillion-pound </w:t>
      </w:r>
      <w:r w:rsidR="00FF548D" w:rsidRPr="004856E9">
        <w:rPr>
          <w:rFonts w:asciiTheme="minorHAnsi" w:eastAsia="SimSun" w:hAnsiTheme="minorHAnsi"/>
          <w:kern w:val="2"/>
          <w:sz w:val="18"/>
          <w:szCs w:val="18"/>
          <w:lang w:eastAsia="zh-CN"/>
        </w:rPr>
        <w:t>growth</w:t>
      </w:r>
      <w:r w:rsidRPr="004856E9">
        <w:rPr>
          <w:rFonts w:asciiTheme="minorHAnsi" w:eastAsia="SimSun" w:hAnsiTheme="minorHAnsi"/>
          <w:kern w:val="2"/>
          <w:sz w:val="18"/>
          <w:szCs w:val="18"/>
          <w:lang w:eastAsia="zh-CN"/>
        </w:rPr>
        <w:t xml:space="preserve"> </w:t>
      </w:r>
      <w:r w:rsidR="00FF548D" w:rsidRPr="004856E9">
        <w:rPr>
          <w:rFonts w:asciiTheme="minorHAnsi" w:eastAsia="SimSun" w:hAnsiTheme="minorHAnsi"/>
          <w:kern w:val="2"/>
          <w:sz w:val="18"/>
          <w:szCs w:val="18"/>
          <w:lang w:eastAsia="zh-CN"/>
        </w:rPr>
        <w:t>and has</w:t>
      </w:r>
      <w:r w:rsidRPr="004856E9">
        <w:rPr>
          <w:rFonts w:asciiTheme="minorHAnsi" w:eastAsia="SimSun" w:hAnsiTheme="minorHAnsi"/>
          <w:kern w:val="2"/>
          <w:sz w:val="18"/>
          <w:szCs w:val="18"/>
          <w:lang w:eastAsia="zh-CN"/>
        </w:rPr>
        <w:t xml:space="preserve"> many years of experience in business turnarounds, acquisitions, business transformations and growth.</w:t>
      </w:r>
    </w:p>
    <w:p w14:paraId="4FB50B33" w14:textId="77777777" w:rsidR="00310418" w:rsidRPr="004856E9"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w:t>
      </w:r>
    </w:p>
    <w:p w14:paraId="6F7B8EBF" w14:textId="77777777" w:rsidR="00310418" w:rsidRPr="004856E9"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 xml:space="preserve">Mike’s international experience encompasses large multinational businesses such as Sasol, Mondi, Anglo American, </w:t>
      </w:r>
      <w:proofErr w:type="spellStart"/>
      <w:r w:rsidRPr="004856E9">
        <w:rPr>
          <w:rFonts w:asciiTheme="minorHAnsi" w:eastAsia="SimSun" w:hAnsiTheme="minorHAnsi"/>
          <w:kern w:val="2"/>
          <w:sz w:val="18"/>
          <w:szCs w:val="18"/>
          <w:lang w:eastAsia="zh-CN"/>
        </w:rPr>
        <w:t>Linpac</w:t>
      </w:r>
      <w:proofErr w:type="spellEnd"/>
      <w:r w:rsidRPr="004856E9">
        <w:rPr>
          <w:rFonts w:asciiTheme="minorHAnsi" w:eastAsia="SimSun" w:hAnsiTheme="minorHAnsi"/>
          <w:kern w:val="2"/>
          <w:sz w:val="18"/>
          <w:szCs w:val="18"/>
          <w:lang w:eastAsia="zh-CN"/>
        </w:rPr>
        <w:t xml:space="preserve">, </w:t>
      </w:r>
      <w:proofErr w:type="spellStart"/>
      <w:r w:rsidRPr="004856E9">
        <w:rPr>
          <w:rFonts w:asciiTheme="minorHAnsi" w:eastAsia="SimSun" w:hAnsiTheme="minorHAnsi"/>
          <w:kern w:val="2"/>
          <w:sz w:val="18"/>
          <w:szCs w:val="18"/>
          <w:lang w:eastAsia="zh-CN"/>
        </w:rPr>
        <w:t>Mainetti</w:t>
      </w:r>
      <w:proofErr w:type="spellEnd"/>
      <w:r w:rsidRPr="004856E9">
        <w:rPr>
          <w:rFonts w:asciiTheme="minorHAnsi" w:eastAsia="SimSun" w:hAnsiTheme="minorHAnsi"/>
          <w:kern w:val="2"/>
          <w:sz w:val="18"/>
          <w:szCs w:val="18"/>
          <w:lang w:eastAsia="zh-CN"/>
        </w:rPr>
        <w:t xml:space="preserve"> and </w:t>
      </w:r>
      <w:proofErr w:type="spellStart"/>
      <w:r w:rsidRPr="004856E9">
        <w:rPr>
          <w:rFonts w:asciiTheme="minorHAnsi" w:eastAsia="SimSun" w:hAnsiTheme="minorHAnsi"/>
          <w:kern w:val="2"/>
          <w:sz w:val="18"/>
          <w:szCs w:val="18"/>
          <w:lang w:eastAsia="zh-CN"/>
        </w:rPr>
        <w:t>Schletter</w:t>
      </w:r>
      <w:proofErr w:type="spellEnd"/>
      <w:r w:rsidRPr="004856E9">
        <w:rPr>
          <w:rFonts w:asciiTheme="minorHAnsi" w:eastAsia="SimSun" w:hAnsiTheme="minorHAnsi"/>
          <w:kern w:val="2"/>
          <w:sz w:val="18"/>
          <w:szCs w:val="18"/>
          <w:lang w:eastAsia="zh-CN"/>
        </w:rPr>
        <w:t xml:space="preserve"> as well as the SME sector and Private Equity.</w:t>
      </w:r>
    </w:p>
    <w:p w14:paraId="722032D0" w14:textId="77777777" w:rsidR="00310418" w:rsidRPr="004856E9"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w:t>
      </w:r>
    </w:p>
    <w:p w14:paraId="584A5876" w14:textId="77777777" w:rsidR="00310418" w:rsidRPr="004856E9"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4856E9">
        <w:rPr>
          <w:rFonts w:asciiTheme="minorHAnsi" w:eastAsia="SimSun" w:hAnsiTheme="minorHAnsi"/>
          <w:kern w:val="2"/>
          <w:sz w:val="18"/>
          <w:szCs w:val="18"/>
          <w:lang w:eastAsia="zh-CN"/>
        </w:rPr>
        <w:t>Mike currently holds the following directorships: </w:t>
      </w:r>
      <w:proofErr w:type="spellStart"/>
      <w:r w:rsidRPr="004856E9">
        <w:rPr>
          <w:rFonts w:asciiTheme="minorHAnsi" w:eastAsia="SimSun" w:hAnsiTheme="minorHAnsi"/>
          <w:kern w:val="2"/>
          <w:sz w:val="18"/>
          <w:szCs w:val="18"/>
          <w:lang w:eastAsia="zh-CN"/>
        </w:rPr>
        <w:t>Linkcove</w:t>
      </w:r>
      <w:proofErr w:type="spellEnd"/>
      <w:r w:rsidRPr="004856E9">
        <w:rPr>
          <w:rFonts w:asciiTheme="minorHAnsi" w:eastAsia="SimSun" w:hAnsiTheme="minorHAnsi"/>
          <w:kern w:val="2"/>
          <w:sz w:val="18"/>
          <w:szCs w:val="18"/>
          <w:lang w:eastAsia="zh-CN"/>
        </w:rPr>
        <w:t xml:space="preserve"> Ltd, VAT Reclaim Ltd, Stewart Stratco Ltd. In the past five years, Mike has held the following other directorships: </w:t>
      </w:r>
      <w:proofErr w:type="spellStart"/>
      <w:r w:rsidRPr="004856E9">
        <w:rPr>
          <w:rFonts w:asciiTheme="minorHAnsi" w:eastAsia="SimSun" w:hAnsiTheme="minorHAnsi"/>
          <w:kern w:val="2"/>
          <w:sz w:val="18"/>
          <w:szCs w:val="18"/>
          <w:lang w:eastAsia="zh-CN"/>
        </w:rPr>
        <w:t>Schletter</w:t>
      </w:r>
      <w:proofErr w:type="spellEnd"/>
      <w:r w:rsidRPr="004856E9">
        <w:rPr>
          <w:rFonts w:asciiTheme="minorHAnsi" w:eastAsia="SimSun" w:hAnsiTheme="minorHAnsi"/>
          <w:kern w:val="2"/>
          <w:sz w:val="18"/>
          <w:szCs w:val="18"/>
          <w:lang w:eastAsia="zh-CN"/>
        </w:rPr>
        <w:t xml:space="preserve"> Africa Ltd and VAT Recovery Ltd.</w:t>
      </w:r>
    </w:p>
    <w:p w14:paraId="37308D4C" w14:textId="77777777" w:rsidR="00FA3776" w:rsidRPr="004856E9" w:rsidRDefault="00FA3776" w:rsidP="00FA3776">
      <w:pPr>
        <w:autoSpaceDE w:val="0"/>
        <w:autoSpaceDN w:val="0"/>
        <w:adjustRightInd w:val="0"/>
        <w:spacing w:after="0"/>
        <w:rPr>
          <w:rFonts w:cstheme="minorHAnsi"/>
          <w:color w:val="000000"/>
          <w:sz w:val="18"/>
          <w:szCs w:val="18"/>
        </w:rPr>
      </w:pPr>
    </w:p>
    <w:p w14:paraId="5CA95BB3" w14:textId="77777777" w:rsidR="00B21F61" w:rsidRPr="00524E07" w:rsidRDefault="00B21F61" w:rsidP="00B21F61">
      <w:pPr>
        <w:autoSpaceDE w:val="0"/>
        <w:autoSpaceDN w:val="0"/>
        <w:adjustRightInd w:val="0"/>
        <w:spacing w:after="0"/>
        <w:rPr>
          <w:rFonts w:cstheme="minorHAnsi"/>
          <w:b/>
          <w:bCs/>
          <w:color w:val="000000"/>
          <w:sz w:val="18"/>
          <w:szCs w:val="18"/>
        </w:rPr>
      </w:pPr>
      <w:r>
        <w:rPr>
          <w:rFonts w:cstheme="minorHAnsi"/>
          <w:b/>
          <w:bCs/>
          <w:color w:val="000000"/>
          <w:sz w:val="18"/>
          <w:szCs w:val="18"/>
        </w:rPr>
        <w:t>Jonathan (“</w:t>
      </w:r>
      <w:r w:rsidRPr="00FA3776">
        <w:rPr>
          <w:rFonts w:cstheme="minorHAnsi"/>
          <w:b/>
          <w:bCs/>
          <w:color w:val="000000"/>
          <w:sz w:val="18"/>
          <w:szCs w:val="18"/>
        </w:rPr>
        <w:t>Johnny</w:t>
      </w:r>
      <w:r>
        <w:rPr>
          <w:rFonts w:cstheme="minorHAnsi"/>
          <w:b/>
          <w:bCs/>
          <w:color w:val="000000"/>
          <w:sz w:val="18"/>
          <w:szCs w:val="18"/>
        </w:rPr>
        <w:t>”)</w:t>
      </w:r>
      <w:r w:rsidRPr="00FA3776">
        <w:rPr>
          <w:rFonts w:cstheme="minorHAnsi"/>
          <w:b/>
          <w:bCs/>
          <w:color w:val="000000"/>
          <w:sz w:val="18"/>
          <w:szCs w:val="18"/>
        </w:rPr>
        <w:t xml:space="preserve"> Martin Smith</w:t>
      </w:r>
      <w:r>
        <w:rPr>
          <w:rFonts w:cstheme="minorHAnsi"/>
          <w:b/>
          <w:bCs/>
          <w:color w:val="000000"/>
          <w:sz w:val="18"/>
          <w:szCs w:val="18"/>
        </w:rPr>
        <w:t xml:space="preserve"> - Non-Executive Director</w:t>
      </w:r>
    </w:p>
    <w:p w14:paraId="682FB99E" w14:textId="77777777" w:rsidR="00B21F61" w:rsidRPr="003B5FF3" w:rsidRDefault="00B21F61" w:rsidP="00B21F61">
      <w:pPr>
        <w:rPr>
          <w:sz w:val="18"/>
          <w:szCs w:val="18"/>
        </w:rPr>
      </w:pPr>
      <w:r w:rsidRPr="003B5FF3">
        <w:rPr>
          <w:sz w:val="18"/>
          <w:szCs w:val="18"/>
        </w:rPr>
        <w:t>Johnny is an Independent</w:t>
      </w:r>
      <w:r>
        <w:rPr>
          <w:sz w:val="18"/>
          <w:szCs w:val="18"/>
        </w:rPr>
        <w:t xml:space="preserve"> </w:t>
      </w:r>
      <w:r w:rsidRPr="003B5FF3">
        <w:rPr>
          <w:sz w:val="18"/>
          <w:szCs w:val="18"/>
        </w:rPr>
        <w:t>Non-Executive Director and Chairman of the Remuneration Committee of</w:t>
      </w:r>
      <w:r>
        <w:rPr>
          <w:sz w:val="18"/>
          <w:szCs w:val="18"/>
        </w:rPr>
        <w:t xml:space="preserve"> </w:t>
      </w:r>
      <w:r w:rsidRPr="003B5FF3">
        <w:rPr>
          <w:sz w:val="18"/>
          <w:szCs w:val="18"/>
        </w:rPr>
        <w:t>IRC. He stepped down as a partner of the specialist mining advisory firm Legacy Hill Capital to take up being Chief</w:t>
      </w:r>
      <w:r>
        <w:rPr>
          <w:sz w:val="18"/>
          <w:szCs w:val="18"/>
        </w:rPr>
        <w:t xml:space="preserve"> </w:t>
      </w:r>
      <w:r w:rsidRPr="003B5FF3">
        <w:rPr>
          <w:sz w:val="18"/>
          <w:szCs w:val="18"/>
        </w:rPr>
        <w:t xml:space="preserve">Executive Officer of Sumner Group Mining </w:t>
      </w:r>
      <w:r>
        <w:rPr>
          <w:sz w:val="18"/>
          <w:szCs w:val="18"/>
        </w:rPr>
        <w:t>P</w:t>
      </w:r>
      <w:r w:rsidRPr="003B5FF3">
        <w:rPr>
          <w:sz w:val="18"/>
          <w:szCs w:val="18"/>
        </w:rPr>
        <w:t xml:space="preserve">lc (previously known as VI Mining </w:t>
      </w:r>
      <w:r>
        <w:rPr>
          <w:sz w:val="18"/>
          <w:szCs w:val="18"/>
        </w:rPr>
        <w:t>P</w:t>
      </w:r>
      <w:r w:rsidRPr="003B5FF3">
        <w:rPr>
          <w:sz w:val="18"/>
          <w:szCs w:val="18"/>
        </w:rPr>
        <w:t xml:space="preserve">lc). He was the founder of London based Smith’s Corporate Advisory, which he sold to UK stockbroker </w:t>
      </w:r>
      <w:proofErr w:type="spellStart"/>
      <w:r w:rsidRPr="003B5FF3">
        <w:rPr>
          <w:sz w:val="18"/>
          <w:szCs w:val="18"/>
        </w:rPr>
        <w:t>Westhouse</w:t>
      </w:r>
      <w:proofErr w:type="spellEnd"/>
      <w:r w:rsidRPr="003B5FF3">
        <w:rPr>
          <w:sz w:val="18"/>
          <w:szCs w:val="18"/>
        </w:rPr>
        <w:t xml:space="preserve"> Holdings in 2010, where he subsequently headed the mining practice. Prior to establishing his own firm, he worked at UBS, Credit Suisse and Williams de </w:t>
      </w:r>
      <w:proofErr w:type="spellStart"/>
      <w:r w:rsidRPr="003B5FF3">
        <w:rPr>
          <w:sz w:val="18"/>
          <w:szCs w:val="18"/>
        </w:rPr>
        <w:t>Broe</w:t>
      </w:r>
      <w:proofErr w:type="spellEnd"/>
      <w:r w:rsidRPr="003B5FF3">
        <w:rPr>
          <w:sz w:val="18"/>
          <w:szCs w:val="18"/>
        </w:rPr>
        <w:t xml:space="preserve">. He recently served as a Temporary Independent Non-Executive Director of Petropavlovsk </w:t>
      </w:r>
      <w:r>
        <w:rPr>
          <w:sz w:val="18"/>
          <w:szCs w:val="18"/>
        </w:rPr>
        <w:t>P</w:t>
      </w:r>
      <w:r w:rsidRPr="003B5FF3">
        <w:rPr>
          <w:sz w:val="18"/>
          <w:szCs w:val="18"/>
        </w:rPr>
        <w:t>lc for the months of July and August 2020.</w:t>
      </w:r>
    </w:p>
    <w:p w14:paraId="09F0C934" w14:textId="77777777" w:rsidR="00F10D75" w:rsidRPr="004856E9" w:rsidRDefault="00F10D75">
      <w:pPr>
        <w:widowControl/>
        <w:spacing w:before="0" w:after="0"/>
        <w:jc w:val="left"/>
        <w:rPr>
          <w:rFonts w:cs="Arial"/>
          <w:sz w:val="18"/>
          <w:szCs w:val="18"/>
          <w:lang w:eastAsia="en-GB"/>
        </w:rPr>
      </w:pPr>
      <w:r w:rsidRPr="004856E9">
        <w:rPr>
          <w:rFonts w:cs="Arial"/>
          <w:sz w:val="18"/>
          <w:szCs w:val="18"/>
          <w:lang w:eastAsia="en-GB"/>
        </w:rPr>
        <w:br w:type="page"/>
      </w:r>
    </w:p>
    <w:p w14:paraId="75638B75" w14:textId="77777777" w:rsidR="00890FE3" w:rsidRPr="004856E9" w:rsidRDefault="00890FE3" w:rsidP="00333164">
      <w:pPr>
        <w:widowControl/>
        <w:spacing w:before="0" w:after="0"/>
        <w:jc w:val="left"/>
        <w:rPr>
          <w:rFonts w:cs="Arial"/>
          <w:b/>
          <w:sz w:val="18"/>
          <w:szCs w:val="18"/>
          <w:lang w:eastAsia="en-GB"/>
        </w:rPr>
      </w:pPr>
      <w:r w:rsidRPr="004856E9">
        <w:rPr>
          <w:rFonts w:cstheme="minorHAnsi"/>
          <w:b/>
          <w:bCs/>
          <w:szCs w:val="20"/>
        </w:rPr>
        <w:lastRenderedPageBreak/>
        <w:t>D</w:t>
      </w:r>
      <w:r w:rsidR="00333164" w:rsidRPr="004856E9">
        <w:rPr>
          <w:rFonts w:cstheme="minorHAnsi"/>
          <w:b/>
          <w:bCs/>
          <w:szCs w:val="20"/>
        </w:rPr>
        <w:t>IRECTORS’ REPORT</w:t>
      </w:r>
    </w:p>
    <w:p w14:paraId="06E9F0DB" w14:textId="77777777" w:rsidR="00333164" w:rsidRPr="004856E9" w:rsidRDefault="00333164" w:rsidP="00890FE3">
      <w:pPr>
        <w:spacing w:after="0"/>
        <w:rPr>
          <w:rFonts w:cs="Arial"/>
          <w:b/>
          <w:sz w:val="18"/>
          <w:szCs w:val="18"/>
          <w:lang w:eastAsia="en-GB"/>
        </w:rPr>
      </w:pPr>
    </w:p>
    <w:p w14:paraId="57C9C405" w14:textId="77777777" w:rsidR="00890FE3" w:rsidRPr="004856E9" w:rsidRDefault="00890FE3" w:rsidP="00890FE3">
      <w:pPr>
        <w:spacing w:after="0"/>
        <w:rPr>
          <w:rFonts w:cs="Arial"/>
          <w:sz w:val="18"/>
          <w:szCs w:val="18"/>
          <w:lang w:eastAsia="en-GB"/>
        </w:rPr>
      </w:pPr>
      <w:r w:rsidRPr="004856E9">
        <w:rPr>
          <w:rFonts w:cs="Arial"/>
          <w:sz w:val="18"/>
          <w:szCs w:val="18"/>
          <w:lang w:eastAsia="en-GB"/>
        </w:rPr>
        <w:t>The Directors present their report together with the audited financial statements, for the</w:t>
      </w:r>
      <w:r w:rsidR="00927913" w:rsidRPr="004856E9">
        <w:rPr>
          <w:rFonts w:cs="Arial"/>
          <w:sz w:val="18"/>
          <w:szCs w:val="18"/>
          <w:lang w:eastAsia="en-GB"/>
        </w:rPr>
        <w:t xml:space="preserve"> year </w:t>
      </w:r>
      <w:r w:rsidRPr="004856E9">
        <w:rPr>
          <w:rFonts w:cs="Arial"/>
          <w:sz w:val="18"/>
          <w:szCs w:val="18"/>
          <w:lang w:eastAsia="en-GB"/>
        </w:rPr>
        <w:t xml:space="preserve">ended 31 </w:t>
      </w:r>
      <w:r w:rsidR="00927913" w:rsidRPr="004856E9">
        <w:rPr>
          <w:rFonts w:cs="Arial"/>
          <w:sz w:val="18"/>
          <w:szCs w:val="18"/>
          <w:lang w:eastAsia="en-GB"/>
        </w:rPr>
        <w:t>Janu</w:t>
      </w:r>
      <w:r w:rsidR="00D8585E" w:rsidRPr="004856E9">
        <w:rPr>
          <w:rFonts w:cs="Arial"/>
          <w:sz w:val="18"/>
          <w:szCs w:val="18"/>
          <w:lang w:eastAsia="en-GB"/>
        </w:rPr>
        <w:t>a</w:t>
      </w:r>
      <w:r w:rsidR="00927913" w:rsidRPr="004856E9">
        <w:rPr>
          <w:rFonts w:cs="Arial"/>
          <w:sz w:val="18"/>
          <w:szCs w:val="18"/>
          <w:lang w:eastAsia="en-GB"/>
        </w:rPr>
        <w:t>ry 20</w:t>
      </w:r>
      <w:r w:rsidR="00F81624" w:rsidRPr="004856E9">
        <w:rPr>
          <w:rFonts w:cs="Arial"/>
          <w:sz w:val="18"/>
          <w:szCs w:val="18"/>
          <w:lang w:eastAsia="en-GB"/>
        </w:rPr>
        <w:t>2</w:t>
      </w:r>
      <w:r w:rsidR="004856E9">
        <w:rPr>
          <w:rFonts w:cs="Arial"/>
          <w:sz w:val="18"/>
          <w:szCs w:val="18"/>
          <w:lang w:eastAsia="en-GB"/>
        </w:rPr>
        <w:t>3</w:t>
      </w:r>
      <w:r w:rsidRPr="004856E9">
        <w:rPr>
          <w:rFonts w:cs="Arial"/>
          <w:sz w:val="18"/>
          <w:szCs w:val="18"/>
          <w:lang w:eastAsia="en-GB"/>
        </w:rPr>
        <w:t>.</w:t>
      </w:r>
    </w:p>
    <w:p w14:paraId="7271D213" w14:textId="77777777" w:rsidR="00890FE3" w:rsidRPr="004856E9" w:rsidRDefault="00890FE3" w:rsidP="00890FE3">
      <w:pPr>
        <w:spacing w:after="0"/>
        <w:rPr>
          <w:rFonts w:cs="Arial"/>
          <w:sz w:val="18"/>
          <w:szCs w:val="18"/>
          <w:lang w:eastAsia="en-GB"/>
        </w:rPr>
      </w:pPr>
      <w:r w:rsidRPr="004856E9">
        <w:rPr>
          <w:rFonts w:cs="Arial"/>
          <w:sz w:val="18"/>
          <w:szCs w:val="18"/>
          <w:lang w:eastAsia="en-GB"/>
        </w:rPr>
        <w:t xml:space="preserve">The Company was incorporated on </w:t>
      </w:r>
      <w:r w:rsidR="00927913" w:rsidRPr="004856E9">
        <w:rPr>
          <w:rFonts w:cs="Arial"/>
          <w:sz w:val="18"/>
          <w:szCs w:val="18"/>
          <w:lang w:eastAsia="en-GB"/>
        </w:rPr>
        <w:t>28 January 2013</w:t>
      </w:r>
      <w:r w:rsidRPr="004856E9">
        <w:rPr>
          <w:rFonts w:cs="Arial"/>
          <w:sz w:val="18"/>
          <w:szCs w:val="18"/>
          <w:lang w:eastAsia="en-GB"/>
        </w:rPr>
        <w:t xml:space="preserve"> in England and Wales, as </w:t>
      </w:r>
      <w:r w:rsidR="00927913" w:rsidRPr="004856E9">
        <w:rPr>
          <w:rFonts w:cs="Arial"/>
          <w:sz w:val="18"/>
          <w:szCs w:val="18"/>
          <w:lang w:eastAsia="en-GB"/>
        </w:rPr>
        <w:t>private</w:t>
      </w:r>
      <w:r w:rsidRPr="004856E9">
        <w:rPr>
          <w:rFonts w:cs="Arial"/>
          <w:sz w:val="18"/>
          <w:szCs w:val="18"/>
          <w:lang w:eastAsia="en-GB"/>
        </w:rPr>
        <w:t xml:space="preserve"> company</w:t>
      </w:r>
      <w:r w:rsidR="00927913" w:rsidRPr="004856E9">
        <w:rPr>
          <w:rFonts w:cs="Arial"/>
          <w:sz w:val="18"/>
          <w:szCs w:val="18"/>
          <w:lang w:eastAsia="en-GB"/>
        </w:rPr>
        <w:t xml:space="preserve">, </w:t>
      </w:r>
      <w:r w:rsidR="00FF548D" w:rsidRPr="004856E9">
        <w:rPr>
          <w:rFonts w:cs="Arial"/>
          <w:sz w:val="18"/>
          <w:szCs w:val="18"/>
          <w:lang w:eastAsia="en-GB"/>
        </w:rPr>
        <w:t xml:space="preserve">and </w:t>
      </w:r>
      <w:r w:rsidR="00927913" w:rsidRPr="004856E9">
        <w:rPr>
          <w:rFonts w:cs="Arial"/>
          <w:sz w:val="18"/>
          <w:szCs w:val="18"/>
          <w:lang w:eastAsia="en-GB"/>
        </w:rPr>
        <w:t>it re-registered as a public limited company</w:t>
      </w:r>
      <w:r w:rsidRPr="004856E9">
        <w:rPr>
          <w:rFonts w:cs="Arial"/>
          <w:sz w:val="18"/>
          <w:szCs w:val="18"/>
          <w:lang w:eastAsia="en-GB"/>
        </w:rPr>
        <w:t xml:space="preserve"> </w:t>
      </w:r>
      <w:r w:rsidR="00927913" w:rsidRPr="004856E9">
        <w:rPr>
          <w:rFonts w:cs="Arial"/>
          <w:sz w:val="18"/>
          <w:szCs w:val="18"/>
          <w:lang w:eastAsia="en-GB"/>
        </w:rPr>
        <w:t>on 22 October 2018</w:t>
      </w:r>
      <w:r w:rsidRPr="004856E9">
        <w:rPr>
          <w:rFonts w:cs="Arial"/>
          <w:sz w:val="18"/>
          <w:szCs w:val="18"/>
          <w:lang w:eastAsia="en-GB"/>
        </w:rPr>
        <w:t xml:space="preserve">. </w:t>
      </w:r>
      <w:r w:rsidR="001C21C1" w:rsidRPr="004856E9">
        <w:rPr>
          <w:rFonts w:cs="Arial"/>
          <w:sz w:val="18"/>
          <w:szCs w:val="18"/>
          <w:lang w:eastAsia="en-GB"/>
        </w:rPr>
        <w:t xml:space="preserve">The company was subsequently listed </w:t>
      </w:r>
      <w:r w:rsidR="00AF34B9" w:rsidRPr="004856E9">
        <w:rPr>
          <w:rFonts w:cs="Arial"/>
          <w:sz w:val="18"/>
          <w:szCs w:val="18"/>
          <w:lang w:eastAsia="en-GB"/>
        </w:rPr>
        <w:t xml:space="preserve">on </w:t>
      </w:r>
      <w:r w:rsidR="00C10F74" w:rsidRPr="004856E9">
        <w:rPr>
          <w:rFonts w:cs="Arial"/>
          <w:sz w:val="18"/>
          <w:szCs w:val="18"/>
          <w:lang w:eastAsia="en-GB"/>
        </w:rPr>
        <w:t xml:space="preserve">the Main Market for listed securities of the London Stock Exchange </w:t>
      </w:r>
      <w:r w:rsidR="001C21C1" w:rsidRPr="004856E9">
        <w:rPr>
          <w:rFonts w:cs="Arial"/>
          <w:sz w:val="18"/>
          <w:szCs w:val="18"/>
          <w:lang w:eastAsia="en-GB"/>
        </w:rPr>
        <w:t xml:space="preserve">on </w:t>
      </w:r>
      <w:r w:rsidR="00B84249" w:rsidRPr="004856E9">
        <w:rPr>
          <w:rFonts w:cs="Arial"/>
          <w:sz w:val="18"/>
          <w:szCs w:val="18"/>
          <w:lang w:eastAsia="en-GB"/>
        </w:rPr>
        <w:t xml:space="preserve">6 </w:t>
      </w:r>
      <w:r w:rsidR="003B2DB8" w:rsidRPr="004856E9">
        <w:rPr>
          <w:rFonts w:cs="Arial"/>
          <w:sz w:val="18"/>
          <w:szCs w:val="18"/>
          <w:lang w:eastAsia="en-GB"/>
        </w:rPr>
        <w:t>M</w:t>
      </w:r>
      <w:r w:rsidR="00B84249" w:rsidRPr="004856E9">
        <w:rPr>
          <w:rFonts w:cs="Arial"/>
          <w:sz w:val="18"/>
          <w:szCs w:val="18"/>
          <w:lang w:eastAsia="en-GB"/>
        </w:rPr>
        <w:t>arch 2020</w:t>
      </w:r>
      <w:r w:rsidR="00C10F74" w:rsidRPr="004856E9">
        <w:rPr>
          <w:rFonts w:cs="Arial"/>
          <w:sz w:val="18"/>
          <w:szCs w:val="18"/>
          <w:lang w:eastAsia="en-GB"/>
        </w:rPr>
        <w:t>.</w:t>
      </w:r>
    </w:p>
    <w:p w14:paraId="13951013" w14:textId="77777777" w:rsidR="00890FE3" w:rsidRPr="004856E9" w:rsidRDefault="00890FE3" w:rsidP="00890FE3">
      <w:pPr>
        <w:spacing w:after="0"/>
        <w:rPr>
          <w:rFonts w:cs="Arial"/>
          <w:b/>
          <w:sz w:val="18"/>
          <w:szCs w:val="18"/>
          <w:lang w:eastAsia="en-GB"/>
        </w:rPr>
      </w:pPr>
      <w:r w:rsidRPr="004856E9">
        <w:rPr>
          <w:rFonts w:cs="Arial"/>
          <w:b/>
          <w:sz w:val="18"/>
          <w:szCs w:val="18"/>
          <w:lang w:eastAsia="en-GB"/>
        </w:rPr>
        <w:t>Results and dividends</w:t>
      </w:r>
    </w:p>
    <w:p w14:paraId="58967567" w14:textId="7DBE3298" w:rsidR="00890FE3" w:rsidRPr="004856E9" w:rsidRDefault="00890FE3" w:rsidP="00890FE3">
      <w:pPr>
        <w:spacing w:after="0"/>
        <w:rPr>
          <w:rFonts w:cs="Arial"/>
          <w:sz w:val="18"/>
          <w:szCs w:val="18"/>
          <w:lang w:eastAsia="en-GB"/>
        </w:rPr>
      </w:pPr>
      <w:r w:rsidRPr="004856E9">
        <w:rPr>
          <w:rFonts w:cs="Arial"/>
          <w:sz w:val="18"/>
          <w:szCs w:val="18"/>
          <w:lang w:eastAsia="en-GB"/>
        </w:rPr>
        <w:t xml:space="preserve">The results for the period are set out in the Statement of Comprehensive Income on </w:t>
      </w:r>
      <w:r w:rsidRPr="009B5E9D">
        <w:rPr>
          <w:rFonts w:cs="Arial"/>
          <w:sz w:val="18"/>
          <w:szCs w:val="18"/>
          <w:lang w:eastAsia="en-GB"/>
        </w:rPr>
        <w:t xml:space="preserve">page </w:t>
      </w:r>
      <w:r w:rsidR="00FF1E2B" w:rsidRPr="009B5E9D">
        <w:rPr>
          <w:rFonts w:cs="Arial"/>
          <w:sz w:val="18"/>
          <w:szCs w:val="18"/>
          <w:lang w:eastAsia="en-GB"/>
        </w:rPr>
        <w:t>1</w:t>
      </w:r>
      <w:r w:rsidR="009B5E9D" w:rsidRPr="00332D3B">
        <w:rPr>
          <w:rFonts w:cs="Arial"/>
          <w:sz w:val="18"/>
          <w:szCs w:val="18"/>
          <w:lang w:eastAsia="en-GB"/>
        </w:rPr>
        <w:t>4</w:t>
      </w:r>
      <w:r w:rsidRPr="004856E9">
        <w:rPr>
          <w:rFonts w:cs="Arial"/>
          <w:sz w:val="18"/>
          <w:szCs w:val="18"/>
          <w:lang w:eastAsia="en-GB"/>
        </w:rPr>
        <w:t>. The Directors do not recommend the payment of a dividend on the ordinary shares.</w:t>
      </w:r>
    </w:p>
    <w:p w14:paraId="1F22DBB8" w14:textId="77777777" w:rsidR="00890FE3" w:rsidRPr="004856E9" w:rsidRDefault="00890FE3" w:rsidP="00890FE3">
      <w:pPr>
        <w:tabs>
          <w:tab w:val="left" w:pos="5387"/>
          <w:tab w:val="left" w:pos="7230"/>
        </w:tabs>
        <w:spacing w:after="0"/>
        <w:rPr>
          <w:rFonts w:cs="Arial"/>
          <w:b/>
          <w:sz w:val="18"/>
          <w:szCs w:val="18"/>
          <w:lang w:eastAsia="en-GB"/>
        </w:rPr>
      </w:pPr>
      <w:r w:rsidRPr="004856E9">
        <w:rPr>
          <w:rFonts w:cs="Arial"/>
          <w:b/>
          <w:sz w:val="18"/>
          <w:szCs w:val="18"/>
          <w:lang w:eastAsia="en-GB"/>
        </w:rPr>
        <w:t xml:space="preserve">Directors </w:t>
      </w:r>
    </w:p>
    <w:p w14:paraId="1753D985" w14:textId="77777777" w:rsidR="00890FE3" w:rsidRPr="004856E9" w:rsidRDefault="00890FE3" w:rsidP="00890FE3">
      <w:pPr>
        <w:tabs>
          <w:tab w:val="left" w:pos="5387"/>
          <w:tab w:val="left" w:pos="7230"/>
        </w:tabs>
        <w:spacing w:after="0"/>
        <w:rPr>
          <w:rFonts w:cs="Arial"/>
          <w:sz w:val="18"/>
          <w:szCs w:val="18"/>
          <w:lang w:eastAsia="en-GB"/>
        </w:rPr>
      </w:pPr>
      <w:r w:rsidRPr="004856E9">
        <w:rPr>
          <w:rFonts w:cs="Arial"/>
          <w:sz w:val="18"/>
          <w:szCs w:val="18"/>
          <w:lang w:eastAsia="en-GB"/>
        </w:rPr>
        <w:t xml:space="preserve">The Directors of the Company during the </w:t>
      </w:r>
      <w:r w:rsidR="00927913" w:rsidRPr="004856E9">
        <w:rPr>
          <w:rFonts w:cs="Arial"/>
          <w:sz w:val="18"/>
          <w:szCs w:val="18"/>
          <w:lang w:eastAsia="en-GB"/>
        </w:rPr>
        <w:t xml:space="preserve">year </w:t>
      </w:r>
      <w:r w:rsidRPr="004856E9">
        <w:rPr>
          <w:rFonts w:cs="Arial"/>
          <w:sz w:val="18"/>
          <w:szCs w:val="18"/>
          <w:lang w:eastAsia="en-GB"/>
        </w:rPr>
        <w:t>were</w:t>
      </w:r>
      <w:r w:rsidR="00266AC7" w:rsidRPr="004856E9">
        <w:rPr>
          <w:rFonts w:cs="Arial"/>
          <w:sz w:val="18"/>
          <w:szCs w:val="18"/>
          <w:lang w:eastAsia="en-GB"/>
        </w:rPr>
        <w:t xml:space="preserve"> as follows</w:t>
      </w:r>
      <w:r w:rsidR="00B72E51" w:rsidRPr="004856E9">
        <w:rPr>
          <w:rFonts w:cs="Arial"/>
          <w:sz w:val="18"/>
          <w:szCs w:val="18"/>
          <w:lang w:eastAsia="en-GB"/>
        </w:rPr>
        <w:t xml:space="preserve">, all </w:t>
      </w:r>
      <w:r w:rsidR="00266AC7" w:rsidRPr="004856E9">
        <w:rPr>
          <w:rFonts w:cs="Arial"/>
          <w:sz w:val="18"/>
          <w:szCs w:val="18"/>
          <w:lang w:eastAsia="en-GB"/>
        </w:rPr>
        <w:t>being</w:t>
      </w:r>
      <w:r w:rsidR="00B72E51" w:rsidRPr="004856E9">
        <w:rPr>
          <w:rFonts w:cs="Arial"/>
          <w:sz w:val="18"/>
          <w:szCs w:val="18"/>
          <w:lang w:eastAsia="en-GB"/>
        </w:rPr>
        <w:t xml:space="preserve"> non-executive Directors</w:t>
      </w:r>
      <w:r w:rsidRPr="004856E9">
        <w:rPr>
          <w:rFonts w:cs="Arial"/>
          <w:sz w:val="18"/>
          <w:szCs w:val="18"/>
          <w:lang w:eastAsia="en-GB"/>
        </w:rPr>
        <w:t>:</w:t>
      </w:r>
    </w:p>
    <w:p w14:paraId="06CC7539" w14:textId="77777777" w:rsidR="00F35B4A" w:rsidRPr="004856E9" w:rsidRDefault="00F35B4A" w:rsidP="00332D3B">
      <w:pPr>
        <w:autoSpaceDE w:val="0"/>
        <w:autoSpaceDN w:val="0"/>
        <w:adjustRightInd w:val="0"/>
        <w:spacing w:before="0" w:after="0"/>
        <w:rPr>
          <w:rFonts w:cs="Arial"/>
          <w:sz w:val="18"/>
          <w:szCs w:val="18"/>
          <w:lang w:eastAsia="en-GB"/>
        </w:rPr>
      </w:pPr>
      <w:proofErr w:type="spellStart"/>
      <w:r w:rsidRPr="004856E9">
        <w:rPr>
          <w:rFonts w:cs="Arial"/>
          <w:sz w:val="18"/>
          <w:szCs w:val="18"/>
          <w:lang w:eastAsia="en-GB"/>
        </w:rPr>
        <w:t>K</w:t>
      </w:r>
      <w:r w:rsidR="000E45C8" w:rsidRPr="004856E9">
        <w:rPr>
          <w:rFonts w:cs="Arial"/>
          <w:sz w:val="18"/>
          <w:szCs w:val="18"/>
          <w:lang w:eastAsia="en-GB"/>
        </w:rPr>
        <w:t>onosoang</w:t>
      </w:r>
      <w:proofErr w:type="spellEnd"/>
      <w:r w:rsidRPr="004856E9">
        <w:rPr>
          <w:rFonts w:cs="Arial"/>
          <w:sz w:val="18"/>
          <w:szCs w:val="18"/>
          <w:lang w:eastAsia="en-GB"/>
        </w:rPr>
        <w:t xml:space="preserve"> Asare-Bediako</w:t>
      </w:r>
    </w:p>
    <w:p w14:paraId="6CB9BE22" w14:textId="77777777" w:rsidR="00FD7217" w:rsidRPr="004856E9" w:rsidRDefault="00FD7217" w:rsidP="00332D3B">
      <w:pPr>
        <w:autoSpaceDE w:val="0"/>
        <w:autoSpaceDN w:val="0"/>
        <w:adjustRightInd w:val="0"/>
        <w:spacing w:before="0" w:after="0"/>
        <w:rPr>
          <w:rFonts w:cs="Arial"/>
          <w:sz w:val="18"/>
          <w:szCs w:val="18"/>
          <w:lang w:eastAsia="en-GB"/>
        </w:rPr>
      </w:pPr>
      <w:r w:rsidRPr="004856E9">
        <w:rPr>
          <w:rFonts w:cs="Arial"/>
          <w:sz w:val="18"/>
          <w:szCs w:val="18"/>
          <w:lang w:eastAsia="en-GB"/>
        </w:rPr>
        <w:t>R</w:t>
      </w:r>
      <w:r w:rsidR="000E45C8" w:rsidRPr="004856E9">
        <w:rPr>
          <w:rFonts w:cs="Arial"/>
          <w:sz w:val="18"/>
          <w:szCs w:val="18"/>
          <w:lang w:eastAsia="en-GB"/>
        </w:rPr>
        <w:t>oy</w:t>
      </w:r>
      <w:r w:rsidRPr="004856E9">
        <w:rPr>
          <w:rFonts w:cs="Arial"/>
          <w:sz w:val="18"/>
          <w:szCs w:val="18"/>
          <w:lang w:eastAsia="en-GB"/>
        </w:rPr>
        <w:t xml:space="preserve"> Pitchford</w:t>
      </w:r>
    </w:p>
    <w:p w14:paraId="2CC0018F" w14:textId="77777777" w:rsidR="00FD7217" w:rsidRDefault="00FD7217" w:rsidP="00332D3B">
      <w:pPr>
        <w:autoSpaceDE w:val="0"/>
        <w:autoSpaceDN w:val="0"/>
        <w:adjustRightInd w:val="0"/>
        <w:spacing w:before="0" w:after="0"/>
        <w:rPr>
          <w:rFonts w:cs="Arial"/>
          <w:sz w:val="18"/>
          <w:szCs w:val="18"/>
          <w:lang w:eastAsia="en-GB"/>
        </w:rPr>
      </w:pPr>
      <w:r w:rsidRPr="004856E9">
        <w:rPr>
          <w:rFonts w:cs="Arial"/>
          <w:sz w:val="18"/>
          <w:szCs w:val="18"/>
          <w:lang w:eastAsia="en-GB"/>
        </w:rPr>
        <w:t>M</w:t>
      </w:r>
      <w:r w:rsidR="000E45C8" w:rsidRPr="004856E9">
        <w:rPr>
          <w:rFonts w:cs="Arial"/>
          <w:sz w:val="18"/>
          <w:szCs w:val="18"/>
          <w:lang w:eastAsia="en-GB"/>
        </w:rPr>
        <w:t>ichael</w:t>
      </w:r>
      <w:r w:rsidRPr="004856E9">
        <w:rPr>
          <w:rFonts w:cs="Arial"/>
          <w:sz w:val="18"/>
          <w:szCs w:val="18"/>
          <w:lang w:eastAsia="en-GB"/>
        </w:rPr>
        <w:t xml:space="preserve"> Stewart</w:t>
      </w:r>
    </w:p>
    <w:p w14:paraId="2CBB4CAE" w14:textId="04A7DC98" w:rsidR="00B21F61" w:rsidRDefault="00B21F61" w:rsidP="00332D3B">
      <w:pPr>
        <w:autoSpaceDE w:val="0"/>
        <w:autoSpaceDN w:val="0"/>
        <w:adjustRightInd w:val="0"/>
        <w:spacing w:before="0" w:after="0"/>
        <w:rPr>
          <w:rFonts w:cs="Arial"/>
          <w:sz w:val="18"/>
          <w:szCs w:val="18"/>
          <w:lang w:eastAsia="en-GB"/>
        </w:rPr>
      </w:pPr>
      <w:r>
        <w:rPr>
          <w:rFonts w:cs="Arial"/>
          <w:sz w:val="18"/>
          <w:szCs w:val="18"/>
          <w:lang w:eastAsia="en-GB"/>
        </w:rPr>
        <w:t>Jonathan Martin Smith</w:t>
      </w:r>
    </w:p>
    <w:p w14:paraId="287985E8" w14:textId="77777777" w:rsidR="00890FE3" w:rsidRPr="004856E9" w:rsidRDefault="00890FE3" w:rsidP="00890FE3">
      <w:pPr>
        <w:spacing w:after="0"/>
        <w:rPr>
          <w:rFonts w:cs="Arial"/>
          <w:b/>
          <w:sz w:val="18"/>
          <w:szCs w:val="18"/>
          <w:lang w:eastAsia="en-GB"/>
        </w:rPr>
      </w:pPr>
      <w:r w:rsidRPr="004856E9">
        <w:rPr>
          <w:rFonts w:cs="Arial"/>
          <w:b/>
          <w:sz w:val="18"/>
          <w:szCs w:val="18"/>
          <w:lang w:eastAsia="en-GB"/>
        </w:rPr>
        <w:t>Directors’ interest</w:t>
      </w:r>
      <w:r w:rsidR="004D5B80" w:rsidRPr="004856E9">
        <w:rPr>
          <w:rFonts w:cs="Arial"/>
          <w:b/>
          <w:sz w:val="18"/>
          <w:szCs w:val="18"/>
          <w:lang w:eastAsia="en-GB"/>
        </w:rPr>
        <w:t>s</w:t>
      </w:r>
      <w:r w:rsidRPr="004856E9">
        <w:rPr>
          <w:rFonts w:cs="Arial"/>
          <w:b/>
          <w:sz w:val="18"/>
          <w:szCs w:val="18"/>
          <w:lang w:eastAsia="en-GB"/>
        </w:rPr>
        <w:t xml:space="preserve"> </w:t>
      </w:r>
    </w:p>
    <w:p w14:paraId="5912CED3" w14:textId="77777777" w:rsidR="00927913" w:rsidRPr="004856E9" w:rsidRDefault="00890FE3" w:rsidP="00890FE3">
      <w:pPr>
        <w:spacing w:after="0"/>
        <w:rPr>
          <w:rFonts w:cs="Arial"/>
          <w:sz w:val="18"/>
          <w:szCs w:val="18"/>
          <w:lang w:eastAsia="en-GB"/>
        </w:rPr>
      </w:pPr>
      <w:r w:rsidRPr="004856E9">
        <w:rPr>
          <w:rFonts w:cs="Arial"/>
          <w:sz w:val="18"/>
          <w:szCs w:val="18"/>
          <w:lang w:eastAsia="en-GB"/>
        </w:rPr>
        <w:t>The interest and deemed interest in the share capital of the Company by the Director</w:t>
      </w:r>
      <w:r w:rsidR="00AF584C" w:rsidRPr="004856E9">
        <w:rPr>
          <w:rFonts w:cs="Arial"/>
          <w:sz w:val="18"/>
          <w:szCs w:val="18"/>
          <w:lang w:eastAsia="en-GB"/>
        </w:rPr>
        <w:t>s at the end of financial year</w:t>
      </w:r>
      <w:r w:rsidRPr="004856E9">
        <w:rPr>
          <w:rFonts w:cs="Arial"/>
          <w:sz w:val="18"/>
          <w:szCs w:val="18"/>
          <w:lang w:eastAsia="en-GB"/>
        </w:rPr>
        <w:t xml:space="preserve"> are as follows: </w:t>
      </w:r>
    </w:p>
    <w:tbl>
      <w:tblPr>
        <w:tblpPr w:leftFromText="180" w:rightFromText="180" w:vertAnchor="text" w:horzAnchor="margin" w:tblpY="12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35"/>
        <w:gridCol w:w="3119"/>
      </w:tblGrid>
      <w:tr w:rsidR="00D8585E" w:rsidRPr="004856E9" w14:paraId="299467F9" w14:textId="77777777" w:rsidTr="00EF5AA3">
        <w:trPr>
          <w:trHeight w:val="576"/>
          <w:tblHeader/>
        </w:trPr>
        <w:tc>
          <w:tcPr>
            <w:tcW w:w="2972" w:type="dxa"/>
            <w:vAlign w:val="center"/>
          </w:tcPr>
          <w:p w14:paraId="419561AC" w14:textId="77777777" w:rsidR="00D8585E" w:rsidRPr="004856E9" w:rsidRDefault="00D8585E" w:rsidP="00884839">
            <w:pPr>
              <w:spacing w:before="0" w:after="0"/>
              <w:jc w:val="left"/>
              <w:rPr>
                <w:rFonts w:cs="Arial"/>
                <w:b/>
                <w:sz w:val="18"/>
                <w:szCs w:val="18"/>
                <w:lang w:eastAsia="en-GB"/>
              </w:rPr>
            </w:pPr>
            <w:r w:rsidRPr="004856E9">
              <w:rPr>
                <w:rFonts w:cs="Arial"/>
                <w:b/>
                <w:sz w:val="18"/>
                <w:szCs w:val="18"/>
                <w:lang w:eastAsia="en-GB"/>
              </w:rPr>
              <w:t>Name</w:t>
            </w:r>
          </w:p>
        </w:tc>
        <w:tc>
          <w:tcPr>
            <w:tcW w:w="2835" w:type="dxa"/>
            <w:vAlign w:val="center"/>
          </w:tcPr>
          <w:p w14:paraId="1AD0E857" w14:textId="77777777" w:rsidR="00D8585E" w:rsidRPr="004856E9" w:rsidRDefault="00D8585E" w:rsidP="00884839">
            <w:pPr>
              <w:spacing w:before="0" w:after="0"/>
              <w:jc w:val="right"/>
              <w:rPr>
                <w:rFonts w:cs="Arial"/>
                <w:b/>
                <w:sz w:val="18"/>
                <w:szCs w:val="18"/>
                <w:lang w:eastAsia="en-GB"/>
              </w:rPr>
            </w:pPr>
            <w:r w:rsidRPr="004856E9">
              <w:rPr>
                <w:rFonts w:cs="Arial"/>
                <w:b/>
                <w:sz w:val="18"/>
                <w:szCs w:val="18"/>
                <w:lang w:eastAsia="en-GB"/>
              </w:rPr>
              <w:t>Number of Ordinary Shares held</w:t>
            </w:r>
          </w:p>
        </w:tc>
        <w:tc>
          <w:tcPr>
            <w:tcW w:w="3119" w:type="dxa"/>
            <w:vAlign w:val="center"/>
          </w:tcPr>
          <w:p w14:paraId="5B6E17D0" w14:textId="77777777" w:rsidR="00D8585E" w:rsidRPr="004856E9" w:rsidRDefault="00D8585E" w:rsidP="00884839">
            <w:pPr>
              <w:spacing w:before="0" w:after="0"/>
              <w:ind w:left="5" w:hanging="5"/>
              <w:jc w:val="right"/>
              <w:rPr>
                <w:rFonts w:cs="Arial"/>
                <w:b/>
                <w:sz w:val="18"/>
                <w:szCs w:val="18"/>
                <w:lang w:eastAsia="en-GB"/>
              </w:rPr>
            </w:pPr>
            <w:r w:rsidRPr="004856E9">
              <w:rPr>
                <w:rFonts w:cs="Arial"/>
                <w:b/>
                <w:sz w:val="18"/>
                <w:szCs w:val="18"/>
                <w:lang w:eastAsia="en-GB"/>
              </w:rPr>
              <w:t>Percentage of Existing Ordinary Shares</w:t>
            </w:r>
          </w:p>
        </w:tc>
      </w:tr>
      <w:tr w:rsidR="000E45C8" w:rsidRPr="004856E9" w14:paraId="4B156C21" w14:textId="77777777" w:rsidTr="00EF5AA3">
        <w:trPr>
          <w:trHeight w:val="20"/>
        </w:trPr>
        <w:tc>
          <w:tcPr>
            <w:tcW w:w="2972" w:type="dxa"/>
            <w:vAlign w:val="center"/>
          </w:tcPr>
          <w:p w14:paraId="3D657407" w14:textId="77777777" w:rsidR="000E45C8" w:rsidRPr="004856E9" w:rsidRDefault="000E45C8" w:rsidP="00884839">
            <w:pPr>
              <w:spacing w:before="0" w:after="0"/>
              <w:jc w:val="left"/>
              <w:rPr>
                <w:rFonts w:cs="Arial"/>
                <w:sz w:val="18"/>
                <w:szCs w:val="18"/>
                <w:lang w:eastAsia="en-GB"/>
              </w:rPr>
            </w:pPr>
            <w:r w:rsidRPr="004856E9">
              <w:rPr>
                <w:rFonts w:cs="Arial"/>
                <w:sz w:val="18"/>
                <w:szCs w:val="18"/>
                <w:lang w:eastAsia="en-GB"/>
              </w:rPr>
              <w:t>Michael Stewart</w:t>
            </w:r>
          </w:p>
        </w:tc>
        <w:tc>
          <w:tcPr>
            <w:tcW w:w="2835" w:type="dxa"/>
            <w:vAlign w:val="center"/>
          </w:tcPr>
          <w:p w14:paraId="78210FB3" w14:textId="77777777" w:rsidR="000E45C8" w:rsidRPr="004856E9" w:rsidRDefault="004D5B80" w:rsidP="00884839">
            <w:pPr>
              <w:tabs>
                <w:tab w:val="decimal" w:pos="966"/>
              </w:tabs>
              <w:spacing w:before="0" w:after="0"/>
              <w:ind w:hanging="200"/>
              <w:jc w:val="right"/>
              <w:rPr>
                <w:rFonts w:cs="Arial"/>
                <w:sz w:val="18"/>
                <w:szCs w:val="18"/>
                <w:lang w:eastAsia="en-GB"/>
              </w:rPr>
            </w:pPr>
            <w:r w:rsidRPr="004856E9">
              <w:rPr>
                <w:rFonts w:cs="Arial"/>
                <w:sz w:val="18"/>
                <w:szCs w:val="18"/>
                <w:lang w:eastAsia="en-GB"/>
              </w:rPr>
              <w:t>105,000</w:t>
            </w:r>
          </w:p>
        </w:tc>
        <w:tc>
          <w:tcPr>
            <w:tcW w:w="3119" w:type="dxa"/>
            <w:vAlign w:val="center"/>
          </w:tcPr>
          <w:p w14:paraId="27643A18" w14:textId="77777777" w:rsidR="000E45C8" w:rsidRPr="004856E9" w:rsidRDefault="004D5B80" w:rsidP="00884839">
            <w:pPr>
              <w:spacing w:before="0" w:after="0"/>
              <w:ind w:hanging="200"/>
              <w:jc w:val="right"/>
              <w:rPr>
                <w:rFonts w:cs="Arial"/>
                <w:sz w:val="18"/>
                <w:szCs w:val="18"/>
                <w:lang w:eastAsia="en-GB"/>
              </w:rPr>
            </w:pPr>
            <w:r w:rsidRPr="004856E9">
              <w:rPr>
                <w:rFonts w:cs="Arial"/>
                <w:sz w:val="18"/>
                <w:szCs w:val="18"/>
                <w:lang w:eastAsia="en-GB"/>
              </w:rPr>
              <w:t>0.33%</w:t>
            </w:r>
          </w:p>
        </w:tc>
      </w:tr>
    </w:tbl>
    <w:p w14:paraId="0FE21DC9" w14:textId="77777777" w:rsidR="00383176" w:rsidRPr="004856E9" w:rsidRDefault="00383176" w:rsidP="00383176">
      <w:pPr>
        <w:spacing w:before="0" w:after="0"/>
        <w:rPr>
          <w:rFonts w:cs="Arial"/>
          <w:sz w:val="18"/>
          <w:szCs w:val="18"/>
          <w:lang w:eastAsia="en-GB"/>
        </w:rPr>
      </w:pPr>
    </w:p>
    <w:p w14:paraId="709D5BCB" w14:textId="77777777" w:rsidR="00383176" w:rsidRPr="004856E9" w:rsidRDefault="00383176" w:rsidP="00890FE3">
      <w:pPr>
        <w:spacing w:after="0"/>
        <w:rPr>
          <w:rFonts w:cs="Arial"/>
          <w:b/>
          <w:sz w:val="18"/>
          <w:szCs w:val="18"/>
          <w:lang w:eastAsia="en-GB"/>
        </w:rPr>
      </w:pPr>
      <w:r w:rsidRPr="004856E9">
        <w:rPr>
          <w:rFonts w:cs="Arial"/>
          <w:b/>
          <w:sz w:val="18"/>
          <w:szCs w:val="18"/>
          <w:lang w:eastAsia="en-GB"/>
        </w:rPr>
        <w:t>Substantial shareholders</w:t>
      </w:r>
    </w:p>
    <w:p w14:paraId="5FD7684A" w14:textId="77777777" w:rsidR="00383176" w:rsidRPr="004856E9" w:rsidRDefault="00383176" w:rsidP="00890FE3">
      <w:pPr>
        <w:spacing w:after="0"/>
        <w:rPr>
          <w:rFonts w:cs="Arial"/>
          <w:bCs/>
          <w:sz w:val="18"/>
          <w:szCs w:val="18"/>
          <w:lang w:eastAsia="en-GB"/>
        </w:rPr>
      </w:pPr>
      <w:r w:rsidRPr="004856E9">
        <w:rPr>
          <w:rFonts w:cs="Arial"/>
          <w:bCs/>
          <w:sz w:val="18"/>
          <w:szCs w:val="18"/>
          <w:lang w:eastAsia="en-GB"/>
        </w:rPr>
        <w:t xml:space="preserve">As at </w:t>
      </w:r>
      <w:r w:rsidR="00266AC7" w:rsidRPr="004856E9">
        <w:rPr>
          <w:rFonts w:cs="Arial"/>
          <w:bCs/>
          <w:sz w:val="18"/>
          <w:szCs w:val="18"/>
          <w:lang w:eastAsia="en-GB"/>
        </w:rPr>
        <w:t>the end of the financial year</w:t>
      </w:r>
      <w:r w:rsidRPr="004856E9">
        <w:rPr>
          <w:rFonts w:cs="Arial"/>
          <w:bCs/>
          <w:sz w:val="18"/>
          <w:szCs w:val="18"/>
          <w:lang w:eastAsia="en-GB"/>
        </w:rPr>
        <w:t xml:space="preserve"> the total number of issued Ordinary Shares with voting rights in the Company was 32,049,999. The Company has been notified of the following interests of 3 per cent or more in its issued share capital as at the date of this report.</w:t>
      </w:r>
    </w:p>
    <w:tbl>
      <w:tblPr>
        <w:tblpPr w:leftFromText="180" w:rightFromText="180" w:vertAnchor="text" w:horzAnchor="margin" w:tblpY="12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35"/>
        <w:gridCol w:w="3119"/>
      </w:tblGrid>
      <w:tr w:rsidR="00383176" w:rsidRPr="004856E9" w14:paraId="45BE999C" w14:textId="77777777" w:rsidTr="006669FF">
        <w:trPr>
          <w:trHeight w:val="576"/>
          <w:tblHeader/>
        </w:trPr>
        <w:tc>
          <w:tcPr>
            <w:tcW w:w="2972" w:type="dxa"/>
            <w:vAlign w:val="center"/>
          </w:tcPr>
          <w:p w14:paraId="65C8CE4D" w14:textId="77777777" w:rsidR="00383176" w:rsidRPr="004856E9" w:rsidRDefault="00383176" w:rsidP="006669FF">
            <w:pPr>
              <w:spacing w:before="0" w:after="0"/>
              <w:jc w:val="left"/>
              <w:rPr>
                <w:rFonts w:cs="Arial"/>
                <w:b/>
                <w:sz w:val="18"/>
                <w:szCs w:val="18"/>
                <w:lang w:eastAsia="en-GB"/>
              </w:rPr>
            </w:pPr>
            <w:r w:rsidRPr="004856E9">
              <w:rPr>
                <w:rFonts w:cs="Arial"/>
                <w:b/>
                <w:sz w:val="18"/>
                <w:szCs w:val="18"/>
                <w:lang w:eastAsia="en-GB"/>
              </w:rPr>
              <w:t>Shareholder</w:t>
            </w:r>
          </w:p>
        </w:tc>
        <w:tc>
          <w:tcPr>
            <w:tcW w:w="2835" w:type="dxa"/>
            <w:vAlign w:val="center"/>
          </w:tcPr>
          <w:p w14:paraId="639F3DA2" w14:textId="77777777" w:rsidR="00383176" w:rsidRPr="004856E9" w:rsidRDefault="00383176" w:rsidP="006669FF">
            <w:pPr>
              <w:spacing w:before="0" w:after="0"/>
              <w:jc w:val="right"/>
              <w:rPr>
                <w:rFonts w:cs="Arial"/>
                <w:b/>
                <w:sz w:val="18"/>
                <w:szCs w:val="18"/>
                <w:lang w:eastAsia="en-GB"/>
              </w:rPr>
            </w:pPr>
            <w:r w:rsidRPr="004856E9">
              <w:rPr>
                <w:rFonts w:cs="Arial"/>
                <w:b/>
                <w:sz w:val="18"/>
                <w:szCs w:val="18"/>
                <w:lang w:eastAsia="en-GB"/>
              </w:rPr>
              <w:t>Number of Ordinary Shares held</w:t>
            </w:r>
          </w:p>
        </w:tc>
        <w:tc>
          <w:tcPr>
            <w:tcW w:w="3119" w:type="dxa"/>
            <w:vAlign w:val="center"/>
          </w:tcPr>
          <w:p w14:paraId="6F0C4BA3" w14:textId="77777777" w:rsidR="00383176" w:rsidRPr="004856E9" w:rsidRDefault="00383176" w:rsidP="006669FF">
            <w:pPr>
              <w:spacing w:before="0" w:after="0"/>
              <w:ind w:left="5" w:hanging="5"/>
              <w:jc w:val="right"/>
              <w:rPr>
                <w:rFonts w:cs="Arial"/>
                <w:b/>
                <w:sz w:val="18"/>
                <w:szCs w:val="18"/>
                <w:lang w:eastAsia="en-GB"/>
              </w:rPr>
            </w:pPr>
            <w:r w:rsidRPr="004856E9">
              <w:rPr>
                <w:rFonts w:cs="Arial"/>
                <w:b/>
                <w:sz w:val="18"/>
                <w:szCs w:val="18"/>
                <w:lang w:eastAsia="en-GB"/>
              </w:rPr>
              <w:t>Percentage of Existing Ordinary Shares</w:t>
            </w:r>
          </w:p>
        </w:tc>
      </w:tr>
      <w:tr w:rsidR="00383176" w:rsidRPr="004856E9" w14:paraId="138AF583" w14:textId="77777777" w:rsidTr="006669FF">
        <w:trPr>
          <w:trHeight w:val="20"/>
        </w:trPr>
        <w:tc>
          <w:tcPr>
            <w:tcW w:w="2972" w:type="dxa"/>
            <w:vAlign w:val="center"/>
          </w:tcPr>
          <w:p w14:paraId="3C17D701" w14:textId="77777777" w:rsidR="00383176" w:rsidRPr="004856E9" w:rsidRDefault="00EB228C" w:rsidP="006669FF">
            <w:pPr>
              <w:spacing w:before="0" w:after="0"/>
              <w:jc w:val="left"/>
              <w:rPr>
                <w:rFonts w:cs="Arial"/>
                <w:sz w:val="18"/>
                <w:szCs w:val="18"/>
                <w:lang w:eastAsia="en-GB"/>
              </w:rPr>
            </w:pPr>
            <w:r w:rsidRPr="004856E9">
              <w:rPr>
                <w:rFonts w:cs="Arial"/>
                <w:sz w:val="18"/>
                <w:szCs w:val="18"/>
                <w:lang w:eastAsia="en-GB"/>
              </w:rPr>
              <w:t xml:space="preserve">Robert Allen </w:t>
            </w:r>
            <w:proofErr w:type="spellStart"/>
            <w:r w:rsidRPr="004856E9">
              <w:rPr>
                <w:rFonts w:cs="Arial"/>
                <w:sz w:val="18"/>
                <w:szCs w:val="18"/>
                <w:lang w:eastAsia="en-GB"/>
              </w:rPr>
              <w:t>Papiri</w:t>
            </w:r>
            <w:proofErr w:type="spellEnd"/>
          </w:p>
        </w:tc>
        <w:tc>
          <w:tcPr>
            <w:tcW w:w="2835" w:type="dxa"/>
            <w:vAlign w:val="center"/>
          </w:tcPr>
          <w:p w14:paraId="79A01953" w14:textId="77777777" w:rsidR="00383176"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8,098,271</w:t>
            </w:r>
          </w:p>
        </w:tc>
        <w:tc>
          <w:tcPr>
            <w:tcW w:w="3119" w:type="dxa"/>
            <w:vAlign w:val="center"/>
          </w:tcPr>
          <w:p w14:paraId="0DF88ECD" w14:textId="77777777" w:rsidR="00383176"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25.27%</w:t>
            </w:r>
          </w:p>
        </w:tc>
      </w:tr>
      <w:tr w:rsidR="00383176" w:rsidRPr="004856E9" w14:paraId="362E03D5" w14:textId="77777777" w:rsidTr="006669FF">
        <w:trPr>
          <w:trHeight w:val="20"/>
        </w:trPr>
        <w:tc>
          <w:tcPr>
            <w:tcW w:w="2972" w:type="dxa"/>
            <w:vAlign w:val="center"/>
          </w:tcPr>
          <w:p w14:paraId="54F96E6B" w14:textId="77777777" w:rsidR="00383176" w:rsidRPr="004856E9" w:rsidRDefault="00EB228C" w:rsidP="006669FF">
            <w:pPr>
              <w:spacing w:before="0" w:after="0"/>
              <w:jc w:val="left"/>
              <w:rPr>
                <w:rFonts w:cs="Arial"/>
                <w:sz w:val="18"/>
                <w:szCs w:val="18"/>
                <w:lang w:eastAsia="en-GB"/>
              </w:rPr>
            </w:pPr>
            <w:r w:rsidRPr="004856E9">
              <w:rPr>
                <w:rFonts w:cs="Arial"/>
                <w:sz w:val="18"/>
                <w:szCs w:val="18"/>
                <w:lang w:eastAsia="en-GB"/>
              </w:rPr>
              <w:t xml:space="preserve">Michael </w:t>
            </w:r>
            <w:proofErr w:type="spellStart"/>
            <w:r w:rsidRPr="004856E9">
              <w:rPr>
                <w:rFonts w:cs="Arial"/>
                <w:sz w:val="18"/>
                <w:szCs w:val="18"/>
                <w:lang w:eastAsia="en-GB"/>
              </w:rPr>
              <w:t>Sobeck</w:t>
            </w:r>
            <w:proofErr w:type="spellEnd"/>
          </w:p>
        </w:tc>
        <w:tc>
          <w:tcPr>
            <w:tcW w:w="2835" w:type="dxa"/>
            <w:vAlign w:val="center"/>
          </w:tcPr>
          <w:p w14:paraId="000DD1D2" w14:textId="77777777" w:rsidR="00383176"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6,229,327</w:t>
            </w:r>
          </w:p>
        </w:tc>
        <w:tc>
          <w:tcPr>
            <w:tcW w:w="3119" w:type="dxa"/>
            <w:vAlign w:val="center"/>
          </w:tcPr>
          <w:p w14:paraId="2D371BB0" w14:textId="77777777" w:rsidR="00383176"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19.44%</w:t>
            </w:r>
          </w:p>
        </w:tc>
      </w:tr>
      <w:tr w:rsidR="00383176" w:rsidRPr="004856E9" w14:paraId="289B08B7" w14:textId="77777777" w:rsidTr="006669FF">
        <w:trPr>
          <w:trHeight w:val="20"/>
        </w:trPr>
        <w:tc>
          <w:tcPr>
            <w:tcW w:w="2972" w:type="dxa"/>
            <w:vAlign w:val="center"/>
          </w:tcPr>
          <w:p w14:paraId="1E55E224" w14:textId="77777777" w:rsidR="00383176" w:rsidRPr="004856E9" w:rsidRDefault="00EB228C" w:rsidP="006669FF">
            <w:pPr>
              <w:spacing w:before="0" w:after="0"/>
              <w:jc w:val="left"/>
              <w:rPr>
                <w:rFonts w:cs="Arial"/>
                <w:sz w:val="18"/>
                <w:szCs w:val="18"/>
                <w:lang w:eastAsia="en-GB"/>
              </w:rPr>
            </w:pPr>
            <w:r w:rsidRPr="004856E9">
              <w:rPr>
                <w:rFonts w:cs="Arial"/>
                <w:sz w:val="18"/>
                <w:szCs w:val="18"/>
                <w:lang w:eastAsia="en-GB"/>
              </w:rPr>
              <w:t>Moshe Capital</w:t>
            </w:r>
          </w:p>
        </w:tc>
        <w:tc>
          <w:tcPr>
            <w:tcW w:w="2835" w:type="dxa"/>
            <w:vAlign w:val="center"/>
          </w:tcPr>
          <w:p w14:paraId="5FD137CC" w14:textId="77777777" w:rsidR="00383176"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3,200,000</w:t>
            </w:r>
          </w:p>
        </w:tc>
        <w:tc>
          <w:tcPr>
            <w:tcW w:w="3119" w:type="dxa"/>
            <w:vAlign w:val="center"/>
          </w:tcPr>
          <w:p w14:paraId="78567A34" w14:textId="77777777" w:rsidR="00383176"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9.98%</w:t>
            </w:r>
          </w:p>
        </w:tc>
      </w:tr>
      <w:tr w:rsidR="00383176" w:rsidRPr="004856E9" w14:paraId="17133321" w14:textId="77777777" w:rsidTr="006669FF">
        <w:trPr>
          <w:trHeight w:val="20"/>
        </w:trPr>
        <w:tc>
          <w:tcPr>
            <w:tcW w:w="2972" w:type="dxa"/>
            <w:vAlign w:val="center"/>
          </w:tcPr>
          <w:p w14:paraId="5EAA16A4" w14:textId="77777777" w:rsidR="00383176" w:rsidRPr="004856E9" w:rsidRDefault="00EB228C" w:rsidP="006669FF">
            <w:pPr>
              <w:spacing w:before="0" w:after="0"/>
              <w:jc w:val="left"/>
              <w:rPr>
                <w:rFonts w:cs="Arial"/>
                <w:sz w:val="18"/>
                <w:szCs w:val="18"/>
                <w:lang w:eastAsia="en-GB"/>
              </w:rPr>
            </w:pPr>
            <w:r w:rsidRPr="004856E9">
              <w:rPr>
                <w:rFonts w:cs="Arial"/>
                <w:sz w:val="18"/>
                <w:szCs w:val="18"/>
                <w:lang w:eastAsia="en-GB"/>
              </w:rPr>
              <w:t>Tangiers Investment Group LLC</w:t>
            </w:r>
          </w:p>
        </w:tc>
        <w:tc>
          <w:tcPr>
            <w:tcW w:w="2835" w:type="dxa"/>
            <w:vAlign w:val="center"/>
          </w:tcPr>
          <w:p w14:paraId="3E337A54" w14:textId="77777777" w:rsidR="00383176"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2,339,069</w:t>
            </w:r>
          </w:p>
        </w:tc>
        <w:tc>
          <w:tcPr>
            <w:tcW w:w="3119" w:type="dxa"/>
            <w:vAlign w:val="center"/>
          </w:tcPr>
          <w:p w14:paraId="57E8BFCE" w14:textId="77777777" w:rsidR="00383176"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7.30%</w:t>
            </w:r>
          </w:p>
        </w:tc>
      </w:tr>
      <w:tr w:rsidR="00EB228C" w:rsidRPr="004856E9" w14:paraId="45D7D46F" w14:textId="77777777" w:rsidTr="006669FF">
        <w:trPr>
          <w:trHeight w:val="20"/>
        </w:trPr>
        <w:tc>
          <w:tcPr>
            <w:tcW w:w="2972" w:type="dxa"/>
            <w:vAlign w:val="center"/>
          </w:tcPr>
          <w:p w14:paraId="569D450A" w14:textId="77777777" w:rsidR="00EB228C" w:rsidRPr="004856E9" w:rsidRDefault="00EB228C" w:rsidP="006669FF">
            <w:pPr>
              <w:spacing w:before="0" w:after="0"/>
              <w:jc w:val="left"/>
              <w:rPr>
                <w:rFonts w:cs="Arial"/>
                <w:sz w:val="18"/>
                <w:szCs w:val="18"/>
                <w:lang w:eastAsia="en-GB"/>
              </w:rPr>
            </w:pPr>
            <w:r w:rsidRPr="004856E9">
              <w:rPr>
                <w:rFonts w:cs="Arial"/>
                <w:sz w:val="18"/>
                <w:szCs w:val="18"/>
                <w:lang w:eastAsia="en-GB"/>
              </w:rPr>
              <w:t>Matthew Bonner</w:t>
            </w:r>
          </w:p>
        </w:tc>
        <w:tc>
          <w:tcPr>
            <w:tcW w:w="2835" w:type="dxa"/>
            <w:vAlign w:val="center"/>
          </w:tcPr>
          <w:p w14:paraId="6A6E787B" w14:textId="77777777" w:rsidR="00EB228C"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1,100,000</w:t>
            </w:r>
          </w:p>
        </w:tc>
        <w:tc>
          <w:tcPr>
            <w:tcW w:w="3119" w:type="dxa"/>
            <w:vAlign w:val="center"/>
          </w:tcPr>
          <w:p w14:paraId="2B10FD72" w14:textId="77777777" w:rsidR="00EB228C"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3.43%</w:t>
            </w:r>
          </w:p>
        </w:tc>
      </w:tr>
      <w:tr w:rsidR="00EB228C" w:rsidRPr="004856E9" w14:paraId="6C231AF1" w14:textId="77777777" w:rsidTr="006669FF">
        <w:trPr>
          <w:trHeight w:val="20"/>
        </w:trPr>
        <w:tc>
          <w:tcPr>
            <w:tcW w:w="2972" w:type="dxa"/>
            <w:vAlign w:val="center"/>
          </w:tcPr>
          <w:p w14:paraId="03FD6DE2" w14:textId="77777777" w:rsidR="00EB228C" w:rsidRPr="004856E9" w:rsidRDefault="00EB228C" w:rsidP="006669FF">
            <w:pPr>
              <w:spacing w:before="0" w:after="0"/>
              <w:jc w:val="left"/>
              <w:rPr>
                <w:rFonts w:cs="Arial"/>
                <w:sz w:val="18"/>
                <w:szCs w:val="18"/>
                <w:lang w:eastAsia="en-GB"/>
              </w:rPr>
            </w:pPr>
            <w:r w:rsidRPr="004856E9">
              <w:rPr>
                <w:rFonts w:cs="Arial"/>
                <w:sz w:val="18"/>
                <w:szCs w:val="18"/>
                <w:lang w:eastAsia="en-GB"/>
              </w:rPr>
              <w:t>Paul Welker</w:t>
            </w:r>
          </w:p>
        </w:tc>
        <w:tc>
          <w:tcPr>
            <w:tcW w:w="2835" w:type="dxa"/>
            <w:vAlign w:val="center"/>
          </w:tcPr>
          <w:p w14:paraId="2C6D3C7D" w14:textId="77777777" w:rsidR="00EB228C"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1,100,000</w:t>
            </w:r>
          </w:p>
        </w:tc>
        <w:tc>
          <w:tcPr>
            <w:tcW w:w="3119" w:type="dxa"/>
            <w:vAlign w:val="center"/>
          </w:tcPr>
          <w:p w14:paraId="75B64287" w14:textId="77777777" w:rsidR="00EB228C"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3.43%</w:t>
            </w:r>
          </w:p>
        </w:tc>
      </w:tr>
      <w:tr w:rsidR="00EB228C" w:rsidRPr="004856E9" w14:paraId="1A9E3FA8" w14:textId="77777777" w:rsidTr="006669FF">
        <w:trPr>
          <w:trHeight w:val="20"/>
        </w:trPr>
        <w:tc>
          <w:tcPr>
            <w:tcW w:w="2972" w:type="dxa"/>
            <w:vAlign w:val="center"/>
          </w:tcPr>
          <w:p w14:paraId="19CD90F4" w14:textId="77777777" w:rsidR="00EB228C" w:rsidRPr="004856E9" w:rsidRDefault="00EB228C" w:rsidP="006669FF">
            <w:pPr>
              <w:spacing w:before="0" w:after="0"/>
              <w:jc w:val="left"/>
              <w:rPr>
                <w:rFonts w:cs="Arial"/>
                <w:sz w:val="18"/>
                <w:szCs w:val="18"/>
                <w:lang w:eastAsia="en-GB"/>
              </w:rPr>
            </w:pPr>
            <w:r w:rsidRPr="004856E9">
              <w:rPr>
                <w:rFonts w:cs="Arial"/>
                <w:sz w:val="18"/>
                <w:szCs w:val="18"/>
                <w:lang w:eastAsia="en-GB"/>
              </w:rPr>
              <w:t>Eric Dyer</w:t>
            </w:r>
          </w:p>
        </w:tc>
        <w:tc>
          <w:tcPr>
            <w:tcW w:w="2835" w:type="dxa"/>
            <w:vAlign w:val="center"/>
          </w:tcPr>
          <w:p w14:paraId="7E3EAECA" w14:textId="77777777" w:rsidR="00EB228C" w:rsidRPr="004856E9" w:rsidRDefault="00EB228C" w:rsidP="006669FF">
            <w:pPr>
              <w:tabs>
                <w:tab w:val="decimal" w:pos="966"/>
              </w:tabs>
              <w:spacing w:before="0" w:after="0"/>
              <w:ind w:hanging="200"/>
              <w:jc w:val="right"/>
              <w:rPr>
                <w:rFonts w:cs="Arial"/>
                <w:sz w:val="18"/>
                <w:szCs w:val="18"/>
                <w:lang w:eastAsia="en-GB"/>
              </w:rPr>
            </w:pPr>
            <w:r w:rsidRPr="004856E9">
              <w:rPr>
                <w:rFonts w:cs="Arial"/>
                <w:sz w:val="18"/>
                <w:szCs w:val="18"/>
                <w:lang w:eastAsia="en-GB"/>
              </w:rPr>
              <w:t>1,000,000</w:t>
            </w:r>
          </w:p>
        </w:tc>
        <w:tc>
          <w:tcPr>
            <w:tcW w:w="3119" w:type="dxa"/>
            <w:vAlign w:val="center"/>
          </w:tcPr>
          <w:p w14:paraId="45C46688" w14:textId="77777777" w:rsidR="00EB228C" w:rsidRPr="004856E9" w:rsidRDefault="00EB228C" w:rsidP="006669FF">
            <w:pPr>
              <w:spacing w:before="0" w:after="0"/>
              <w:ind w:hanging="200"/>
              <w:jc w:val="right"/>
              <w:rPr>
                <w:rFonts w:cs="Arial"/>
                <w:sz w:val="18"/>
                <w:szCs w:val="18"/>
                <w:lang w:eastAsia="en-GB"/>
              </w:rPr>
            </w:pPr>
            <w:r w:rsidRPr="004856E9">
              <w:rPr>
                <w:rFonts w:cs="Arial"/>
                <w:sz w:val="18"/>
                <w:szCs w:val="18"/>
                <w:lang w:eastAsia="en-GB"/>
              </w:rPr>
              <w:t>3.12%</w:t>
            </w:r>
          </w:p>
        </w:tc>
      </w:tr>
    </w:tbl>
    <w:p w14:paraId="43FCD81D" w14:textId="77777777" w:rsidR="00890FE3" w:rsidRPr="004856E9" w:rsidRDefault="00890FE3" w:rsidP="00890FE3">
      <w:pPr>
        <w:spacing w:after="0"/>
        <w:rPr>
          <w:rFonts w:cs="Arial"/>
          <w:b/>
          <w:sz w:val="18"/>
          <w:szCs w:val="18"/>
          <w:lang w:eastAsia="en-GB"/>
        </w:rPr>
      </w:pPr>
      <w:r w:rsidRPr="004856E9">
        <w:rPr>
          <w:rFonts w:cs="Arial"/>
          <w:b/>
          <w:sz w:val="18"/>
          <w:szCs w:val="18"/>
          <w:lang w:eastAsia="en-GB"/>
        </w:rPr>
        <w:t xml:space="preserve">Dividend policy </w:t>
      </w:r>
    </w:p>
    <w:p w14:paraId="55FBA055" w14:textId="77777777" w:rsidR="00890FE3" w:rsidRPr="004856E9" w:rsidRDefault="00890FE3" w:rsidP="004D1F11">
      <w:pPr>
        <w:spacing w:after="0"/>
        <w:rPr>
          <w:rFonts w:cs="Arial"/>
          <w:sz w:val="18"/>
          <w:szCs w:val="18"/>
          <w:lang w:eastAsia="en-GB"/>
        </w:rPr>
      </w:pPr>
      <w:r w:rsidRPr="004856E9">
        <w:rPr>
          <w:rFonts w:cs="Arial"/>
          <w:sz w:val="18"/>
          <w:szCs w:val="18"/>
          <w:lang w:eastAsia="en-GB"/>
        </w:rPr>
        <w:t>The Company's current intention is to retain any earnings for use in its business operations, and the Company does not anticipate declaring any dividends in the foreseeable future. The Company will only pay dividends to the extent that to do so is in accordance with all applicable laws.</w:t>
      </w:r>
      <w:r w:rsidR="00D73983">
        <w:rPr>
          <w:rFonts w:cs="Arial"/>
          <w:sz w:val="18"/>
          <w:szCs w:val="18"/>
          <w:lang w:eastAsia="en-GB"/>
        </w:rPr>
        <w:t xml:space="preserve">  The Company does not currently have any distributable reserves to facilitate payment of a dividend.</w:t>
      </w:r>
    </w:p>
    <w:p w14:paraId="3142C7E1" w14:textId="77777777" w:rsidR="004D1F11" w:rsidRPr="004856E9" w:rsidRDefault="004D1F11" w:rsidP="004D1F11">
      <w:pPr>
        <w:spacing w:after="0"/>
        <w:rPr>
          <w:rFonts w:cs="Arial"/>
          <w:sz w:val="2"/>
          <w:szCs w:val="2"/>
          <w:lang w:eastAsia="en-GB"/>
        </w:rPr>
      </w:pPr>
    </w:p>
    <w:p w14:paraId="69FAC4E6" w14:textId="77777777" w:rsidR="00890FE3" w:rsidRPr="004856E9" w:rsidRDefault="00890FE3" w:rsidP="00890FE3">
      <w:pPr>
        <w:spacing w:after="0"/>
        <w:rPr>
          <w:rFonts w:cs="Arial"/>
          <w:b/>
          <w:sz w:val="18"/>
          <w:szCs w:val="18"/>
          <w:lang w:eastAsia="en-GB"/>
        </w:rPr>
      </w:pPr>
      <w:r w:rsidRPr="004856E9">
        <w:rPr>
          <w:rFonts w:cs="Arial"/>
          <w:b/>
          <w:sz w:val="18"/>
          <w:szCs w:val="18"/>
          <w:lang w:eastAsia="en-GB"/>
        </w:rPr>
        <w:t>Auditors and disclosure of information</w:t>
      </w:r>
    </w:p>
    <w:p w14:paraId="5460944E" w14:textId="77777777" w:rsidR="00890FE3" w:rsidRPr="004856E9" w:rsidRDefault="00890FE3" w:rsidP="00C05BFA">
      <w:pPr>
        <w:rPr>
          <w:rFonts w:cs="Arial"/>
          <w:sz w:val="18"/>
          <w:szCs w:val="18"/>
          <w:lang w:eastAsia="en-GB"/>
        </w:rPr>
      </w:pPr>
      <w:r w:rsidRPr="004856E9">
        <w:rPr>
          <w:rFonts w:cs="Arial"/>
          <w:sz w:val="18"/>
          <w:szCs w:val="18"/>
          <w:lang w:eastAsia="en-GB"/>
        </w:rPr>
        <w:t>The directors confirm that:</w:t>
      </w:r>
    </w:p>
    <w:p w14:paraId="18264BA1" w14:textId="77777777" w:rsidR="00890FE3" w:rsidRPr="004856E9" w:rsidRDefault="00890FE3" w:rsidP="00890FE3">
      <w:pPr>
        <w:widowControl/>
        <w:numPr>
          <w:ilvl w:val="0"/>
          <w:numId w:val="21"/>
        </w:numPr>
        <w:spacing w:before="0" w:after="0"/>
        <w:contextualSpacing/>
        <w:rPr>
          <w:rFonts w:cs="Arial"/>
          <w:sz w:val="18"/>
          <w:szCs w:val="18"/>
          <w:lang w:eastAsia="en-GB"/>
        </w:rPr>
      </w:pPr>
      <w:r w:rsidRPr="004856E9">
        <w:rPr>
          <w:rFonts w:cs="Arial"/>
          <w:sz w:val="18"/>
          <w:szCs w:val="18"/>
          <w:lang w:eastAsia="en-GB"/>
        </w:rPr>
        <w:t>there is no relevant audit information of which the Company’s statutory auditor is unaware; and</w:t>
      </w:r>
    </w:p>
    <w:p w14:paraId="10302A6B" w14:textId="77777777" w:rsidR="00890FE3" w:rsidRPr="004856E9" w:rsidRDefault="00890FE3" w:rsidP="00890FE3">
      <w:pPr>
        <w:widowControl/>
        <w:numPr>
          <w:ilvl w:val="0"/>
          <w:numId w:val="21"/>
        </w:numPr>
        <w:spacing w:before="0" w:after="0"/>
        <w:contextualSpacing/>
        <w:rPr>
          <w:rFonts w:cs="Arial"/>
          <w:sz w:val="18"/>
          <w:szCs w:val="18"/>
          <w:lang w:eastAsia="en-GB"/>
        </w:rPr>
      </w:pPr>
      <w:r w:rsidRPr="004856E9">
        <w:rPr>
          <w:rFonts w:cs="Arial"/>
          <w:sz w:val="18"/>
          <w:szCs w:val="18"/>
          <w:lang w:eastAsia="en-GB"/>
        </w:rPr>
        <w:t xml:space="preserve">each Director has taken all the necessary steps he ought to have taken as a </w:t>
      </w:r>
      <w:r w:rsidR="00CC12B1" w:rsidRPr="004856E9">
        <w:rPr>
          <w:rFonts w:cs="Arial"/>
          <w:sz w:val="18"/>
          <w:szCs w:val="18"/>
          <w:lang w:eastAsia="en-GB"/>
        </w:rPr>
        <w:t>d</w:t>
      </w:r>
      <w:r w:rsidRPr="004856E9">
        <w:rPr>
          <w:rFonts w:cs="Arial"/>
          <w:sz w:val="18"/>
          <w:szCs w:val="18"/>
          <w:lang w:eastAsia="en-GB"/>
        </w:rPr>
        <w:t>irector in order to make himself aware of any relevant audit information and to establish that the Company’s statutory auditor is aware of that information.</w:t>
      </w:r>
    </w:p>
    <w:p w14:paraId="22D816ED" w14:textId="77777777" w:rsidR="00890FE3" w:rsidRPr="004856E9" w:rsidRDefault="00890FE3" w:rsidP="00890FE3">
      <w:pPr>
        <w:spacing w:after="0"/>
        <w:rPr>
          <w:rFonts w:cs="Arial"/>
          <w:sz w:val="18"/>
          <w:szCs w:val="18"/>
          <w:lang w:eastAsia="en-GB"/>
        </w:rPr>
      </w:pPr>
      <w:r w:rsidRPr="004856E9">
        <w:rPr>
          <w:rFonts w:cs="Arial"/>
          <w:sz w:val="18"/>
          <w:szCs w:val="18"/>
          <w:lang w:eastAsia="en-GB"/>
        </w:rPr>
        <w:t>This conﬁrmation is given and should be interpreted in accordance with the provisions of Section 418 of the Companies Act 2006.</w:t>
      </w:r>
    </w:p>
    <w:p w14:paraId="56F44395" w14:textId="77777777" w:rsidR="00890FE3" w:rsidRPr="004856E9" w:rsidRDefault="00890FE3" w:rsidP="00890FE3">
      <w:pPr>
        <w:spacing w:after="0"/>
        <w:rPr>
          <w:rFonts w:cs="Arial"/>
          <w:b/>
          <w:sz w:val="18"/>
          <w:szCs w:val="18"/>
          <w:lang w:eastAsia="en-GB"/>
        </w:rPr>
      </w:pPr>
      <w:bookmarkStart w:id="0" w:name="_Toc426473534"/>
      <w:r w:rsidRPr="004856E9">
        <w:rPr>
          <w:rFonts w:cs="Arial"/>
          <w:b/>
          <w:sz w:val="18"/>
          <w:szCs w:val="18"/>
          <w:lang w:eastAsia="en-GB"/>
        </w:rPr>
        <w:t>Responsibility Statement</w:t>
      </w:r>
      <w:bookmarkEnd w:id="0"/>
    </w:p>
    <w:p w14:paraId="73D1A1E3" w14:textId="77777777" w:rsidR="00890FE3" w:rsidRPr="004856E9" w:rsidRDefault="00890FE3" w:rsidP="00890FE3">
      <w:pPr>
        <w:autoSpaceDE w:val="0"/>
        <w:autoSpaceDN w:val="0"/>
        <w:adjustRightInd w:val="0"/>
        <w:spacing w:after="0"/>
        <w:rPr>
          <w:rFonts w:cs="Arial"/>
          <w:sz w:val="18"/>
          <w:szCs w:val="18"/>
          <w:lang w:eastAsia="en-GB"/>
        </w:rPr>
      </w:pPr>
      <w:r w:rsidRPr="004856E9">
        <w:rPr>
          <w:rFonts w:cs="Arial"/>
          <w:sz w:val="18"/>
          <w:szCs w:val="18"/>
          <w:lang w:eastAsia="en-GB"/>
        </w:rPr>
        <w:t xml:space="preserve">The directors are responsible for preparing the annual report and the financial statements in accordance with applicable law </w:t>
      </w:r>
      <w:r w:rsidRPr="004856E9">
        <w:rPr>
          <w:rFonts w:cs="Arial"/>
          <w:sz w:val="18"/>
          <w:szCs w:val="18"/>
          <w:lang w:eastAsia="en-GB"/>
        </w:rPr>
        <w:lastRenderedPageBreak/>
        <w:t xml:space="preserve">and regulations. Company law requires the directors to prepare financial statements for each financial period. Under that law the directors have elected to prepare financial statements for the Company in accordance with </w:t>
      </w:r>
      <w:r w:rsidR="00BA7307" w:rsidRPr="004856E9">
        <w:rPr>
          <w:rFonts w:cs="Arial"/>
          <w:sz w:val="18"/>
          <w:szCs w:val="18"/>
          <w:lang w:eastAsia="en-GB"/>
        </w:rPr>
        <w:t>UK adopted International Accounting Standards</w:t>
      </w:r>
      <w:r w:rsidRPr="004856E9">
        <w:rPr>
          <w:rFonts w:cs="Arial"/>
          <w:sz w:val="18"/>
          <w:szCs w:val="18"/>
          <w:lang w:eastAsia="en-GB"/>
        </w:rPr>
        <w:t>.</w:t>
      </w:r>
    </w:p>
    <w:p w14:paraId="4C3C7DD8" w14:textId="77777777" w:rsidR="00890FE3" w:rsidRPr="004856E9" w:rsidRDefault="00890FE3" w:rsidP="00C05BFA">
      <w:pPr>
        <w:autoSpaceDE w:val="0"/>
        <w:autoSpaceDN w:val="0"/>
        <w:adjustRightInd w:val="0"/>
        <w:rPr>
          <w:rFonts w:cs="Arial"/>
          <w:sz w:val="18"/>
          <w:szCs w:val="18"/>
          <w:lang w:eastAsia="en-GB"/>
        </w:rPr>
      </w:pPr>
      <w:r w:rsidRPr="004856E9">
        <w:rPr>
          <w:rFonts w:cs="Arial"/>
          <w:sz w:val="18"/>
          <w:szCs w:val="18"/>
          <w:lang w:eastAsia="en-GB"/>
        </w:rPr>
        <w:t>Under company law the directors must not approve the ﬁnancial statements unless they are satisﬁed that they give a true and fair view of the state of affairs of the Company and of the proﬁt or loss of the company for that period. In preparing these ﬁnancial statements, the directors are required to:</w:t>
      </w:r>
    </w:p>
    <w:p w14:paraId="47B4B563" w14:textId="77777777" w:rsidR="00890FE3" w:rsidRPr="004856E9"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4856E9">
        <w:rPr>
          <w:rFonts w:cs="Arial"/>
          <w:sz w:val="18"/>
          <w:szCs w:val="18"/>
          <w:lang w:eastAsia="en-GB"/>
        </w:rPr>
        <w:t>select suitable accounting policies and then apply them consistently;</w:t>
      </w:r>
    </w:p>
    <w:p w14:paraId="7A9F82B5" w14:textId="77777777" w:rsidR="00890FE3" w:rsidRPr="004856E9"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4856E9">
        <w:rPr>
          <w:rFonts w:cs="Arial"/>
          <w:sz w:val="18"/>
          <w:szCs w:val="18"/>
          <w:lang w:eastAsia="en-GB"/>
        </w:rPr>
        <w:t>make judgements and estimates that are reasonable and prudent;</w:t>
      </w:r>
    </w:p>
    <w:p w14:paraId="54666199" w14:textId="77777777" w:rsidR="00890FE3" w:rsidRPr="004856E9"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4856E9">
        <w:rPr>
          <w:rFonts w:cs="Arial"/>
          <w:sz w:val="18"/>
          <w:szCs w:val="18"/>
          <w:lang w:eastAsia="en-GB"/>
        </w:rPr>
        <w:t>state whether applicable accounting standards have been followed, subject to any material departures disclosed and explained in the financial statements;</w:t>
      </w:r>
    </w:p>
    <w:p w14:paraId="76BB108E" w14:textId="77777777" w:rsidR="00890FE3" w:rsidRPr="004856E9"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4856E9">
        <w:rPr>
          <w:rFonts w:cs="Arial"/>
          <w:sz w:val="18"/>
          <w:szCs w:val="18"/>
          <w:lang w:eastAsia="en-GB"/>
        </w:rPr>
        <w:t>prepare the financial statements on the going concern basis unless it is inappropriate to presume that the Company will continue in business.</w:t>
      </w:r>
    </w:p>
    <w:p w14:paraId="01771FF6" w14:textId="77777777" w:rsidR="00890FE3" w:rsidRPr="004856E9" w:rsidRDefault="00890FE3" w:rsidP="00890FE3">
      <w:pPr>
        <w:autoSpaceDE w:val="0"/>
        <w:autoSpaceDN w:val="0"/>
        <w:adjustRightInd w:val="0"/>
        <w:spacing w:after="0"/>
        <w:rPr>
          <w:rFonts w:cs="Arial"/>
          <w:sz w:val="18"/>
          <w:szCs w:val="18"/>
          <w:lang w:eastAsia="en-GB"/>
        </w:rPr>
      </w:pPr>
      <w:r w:rsidRPr="004856E9">
        <w:rPr>
          <w:rFonts w:cs="Arial"/>
          <w:sz w:val="18"/>
          <w:szCs w:val="18"/>
          <w:lang w:eastAsia="en-GB"/>
        </w:rPr>
        <w:t xml:space="preserve">The directors are responsible for keeping </w:t>
      </w:r>
      <w:r w:rsidR="00771600" w:rsidRPr="004856E9">
        <w:rPr>
          <w:rFonts w:cs="Arial"/>
          <w:sz w:val="18"/>
          <w:szCs w:val="18"/>
          <w:lang w:eastAsia="en-GB"/>
        </w:rPr>
        <w:t xml:space="preserve">adequate </w:t>
      </w:r>
      <w:r w:rsidRPr="004856E9">
        <w:rPr>
          <w:rFonts w:cs="Arial"/>
          <w:sz w:val="18"/>
          <w:szCs w:val="18"/>
          <w:lang w:eastAsia="en-GB"/>
        </w:rPr>
        <w:t xml:space="preserve">accounting records which disclose with reasonable accuracy at any time, the financial position of the Company to enable them </w:t>
      </w:r>
      <w:r w:rsidR="001245FF" w:rsidRPr="004856E9">
        <w:rPr>
          <w:rFonts w:cs="Arial"/>
          <w:sz w:val="18"/>
          <w:szCs w:val="18"/>
          <w:lang w:eastAsia="en-GB"/>
        </w:rPr>
        <w:t>to ensure</w:t>
      </w:r>
      <w:r w:rsidRPr="004856E9">
        <w:rPr>
          <w:rFonts w:cs="Arial"/>
          <w:sz w:val="18"/>
          <w:szCs w:val="18"/>
          <w:lang w:eastAsia="en-GB"/>
        </w:rPr>
        <w:t xml:space="preserve"> that the financial statements comply with the requirements of the Companies Act 2006. They are also responsible for safeguarding the assets of the Company and hence for taking reasonable steps for the prevention and detection of fraud and other irregularities.</w:t>
      </w:r>
    </w:p>
    <w:p w14:paraId="5211C3F5" w14:textId="77777777" w:rsidR="00C05BFA" w:rsidRPr="004856E9" w:rsidRDefault="00890FE3" w:rsidP="00C05BFA">
      <w:pPr>
        <w:autoSpaceDE w:val="0"/>
        <w:autoSpaceDN w:val="0"/>
        <w:adjustRightInd w:val="0"/>
        <w:spacing w:after="0"/>
        <w:rPr>
          <w:rFonts w:cs="Arial"/>
          <w:sz w:val="18"/>
          <w:szCs w:val="18"/>
          <w:lang w:eastAsia="en-GB"/>
        </w:rPr>
      </w:pPr>
      <w:r w:rsidRPr="004856E9">
        <w:rPr>
          <w:rFonts w:cs="Arial"/>
          <w:sz w:val="18"/>
          <w:szCs w:val="18"/>
          <w:lang w:eastAsia="en-GB"/>
        </w:rPr>
        <w:t xml:space="preserve">The maintenance and integrity of the </w:t>
      </w:r>
      <w:r w:rsidR="00704F4F" w:rsidRPr="004856E9">
        <w:rPr>
          <w:rFonts w:cs="Arial"/>
          <w:sz w:val="18"/>
          <w:szCs w:val="18"/>
          <w:lang w:eastAsia="en-GB"/>
        </w:rPr>
        <w:t>Mining, Minerals &amp; Metals</w:t>
      </w:r>
      <w:r w:rsidRPr="004856E9">
        <w:rPr>
          <w:rFonts w:cs="Arial"/>
          <w:sz w:val="18"/>
          <w:szCs w:val="18"/>
          <w:lang w:eastAsia="en-GB"/>
        </w:rPr>
        <w:t xml:space="preserve"> Plc website is the responsibility of the Directors</w:t>
      </w:r>
      <w:r w:rsidR="00CB7800" w:rsidRPr="004856E9">
        <w:rPr>
          <w:rFonts w:cs="Arial"/>
          <w:sz w:val="18"/>
          <w:szCs w:val="18"/>
          <w:lang w:eastAsia="en-GB"/>
        </w:rPr>
        <w:t>.</w:t>
      </w:r>
    </w:p>
    <w:p w14:paraId="0E977290" w14:textId="77777777" w:rsidR="00890FE3" w:rsidRPr="004856E9" w:rsidRDefault="00890FE3" w:rsidP="00C05BFA">
      <w:pPr>
        <w:rPr>
          <w:rFonts w:cs="Arial"/>
          <w:sz w:val="18"/>
          <w:szCs w:val="18"/>
          <w:lang w:eastAsia="en-GB"/>
        </w:rPr>
      </w:pPr>
      <w:r w:rsidRPr="004856E9">
        <w:rPr>
          <w:rFonts w:cs="Arial"/>
          <w:sz w:val="18"/>
          <w:szCs w:val="18"/>
          <w:lang w:eastAsia="en-GB"/>
        </w:rPr>
        <w:t xml:space="preserve">The directors confirm, to the best of their knowledge that: </w:t>
      </w:r>
    </w:p>
    <w:p w14:paraId="6312B41C" w14:textId="77777777" w:rsidR="00890FE3" w:rsidRPr="004856E9" w:rsidRDefault="00890FE3" w:rsidP="00890FE3">
      <w:pPr>
        <w:pStyle w:val="ListParagraph"/>
        <w:numPr>
          <w:ilvl w:val="0"/>
          <w:numId w:val="23"/>
        </w:numPr>
        <w:spacing w:after="0" w:line="240" w:lineRule="auto"/>
        <w:jc w:val="both"/>
        <w:rPr>
          <w:rFonts w:eastAsia="SimSun" w:cs="Arial"/>
          <w:kern w:val="2"/>
          <w:sz w:val="18"/>
          <w:szCs w:val="18"/>
          <w:lang w:val="en-GB" w:eastAsia="en-GB"/>
        </w:rPr>
      </w:pPr>
      <w:r w:rsidRPr="004856E9">
        <w:rPr>
          <w:rFonts w:eastAsia="SimSun" w:cs="Arial"/>
          <w:kern w:val="2"/>
          <w:sz w:val="18"/>
          <w:szCs w:val="18"/>
          <w:lang w:val="en-GB" w:eastAsia="en-GB"/>
        </w:rPr>
        <w:t>the financial statements, prepared in accordance with the relevant financial reporting framework, give a true and fair view of the assets, liabilities, financial position and profit or loss of the Company; and</w:t>
      </w:r>
    </w:p>
    <w:p w14:paraId="5F94800B" w14:textId="77777777" w:rsidR="00890FE3" w:rsidRPr="004856E9" w:rsidRDefault="00890FE3" w:rsidP="00890FE3">
      <w:pPr>
        <w:pStyle w:val="ListParagraph"/>
        <w:numPr>
          <w:ilvl w:val="0"/>
          <w:numId w:val="23"/>
        </w:numPr>
        <w:spacing w:after="0" w:line="240" w:lineRule="auto"/>
        <w:jc w:val="both"/>
        <w:rPr>
          <w:rFonts w:eastAsia="SimSun" w:cs="Arial"/>
          <w:kern w:val="2"/>
          <w:sz w:val="18"/>
          <w:szCs w:val="18"/>
          <w:lang w:val="en-GB" w:eastAsia="en-GB"/>
        </w:rPr>
      </w:pPr>
      <w:r w:rsidRPr="004856E9">
        <w:rPr>
          <w:rFonts w:eastAsia="SimSun" w:cs="Arial"/>
          <w:kern w:val="2"/>
          <w:sz w:val="18"/>
          <w:szCs w:val="18"/>
          <w:lang w:val="en-GB" w:eastAsia="en-GB"/>
        </w:rPr>
        <w:t xml:space="preserve">the </w:t>
      </w:r>
      <w:r w:rsidR="006D02F9" w:rsidRPr="004856E9">
        <w:rPr>
          <w:rFonts w:eastAsia="SimSun" w:cs="Arial"/>
          <w:kern w:val="2"/>
          <w:sz w:val="18"/>
          <w:szCs w:val="18"/>
          <w:lang w:val="en-GB" w:eastAsia="en-GB"/>
        </w:rPr>
        <w:t>Strategic Report</w:t>
      </w:r>
      <w:r w:rsidRPr="004856E9">
        <w:rPr>
          <w:rFonts w:eastAsia="SimSun" w:cs="Arial"/>
          <w:kern w:val="2"/>
          <w:sz w:val="18"/>
          <w:szCs w:val="18"/>
          <w:lang w:val="en-GB" w:eastAsia="en-GB"/>
        </w:rPr>
        <w:t xml:space="preserve"> include a fair review of the development and performance of the business and the financial position of the Company, together with a description of the principal risks and uncertainties that it faces.</w:t>
      </w:r>
    </w:p>
    <w:p w14:paraId="482C3AD5" w14:textId="208046A5" w:rsidR="00BC621A" w:rsidRPr="00786A78" w:rsidRDefault="00890FE3" w:rsidP="00786A78">
      <w:pPr>
        <w:pStyle w:val="ListParagraph"/>
        <w:numPr>
          <w:ilvl w:val="0"/>
          <w:numId w:val="23"/>
        </w:numPr>
        <w:spacing w:after="0" w:line="240" w:lineRule="auto"/>
        <w:jc w:val="both"/>
        <w:rPr>
          <w:rFonts w:cstheme="minorHAnsi"/>
          <w:color w:val="000000" w:themeColor="text1"/>
          <w:sz w:val="18"/>
          <w:szCs w:val="18"/>
        </w:rPr>
      </w:pPr>
      <w:r w:rsidRPr="004856E9">
        <w:rPr>
          <w:rFonts w:eastAsia="SimSun" w:cs="Arial"/>
          <w:kern w:val="2"/>
          <w:sz w:val="18"/>
          <w:szCs w:val="18"/>
          <w:lang w:val="en-GB" w:eastAsia="en-GB"/>
        </w:rPr>
        <w:t>the annual report and financial statements, taken as a whole, are fair, balanced and understandable and provide the information necessary for shareholders to assess the company’s performance, business model and strategy.</w:t>
      </w:r>
      <w:bookmarkStart w:id="1" w:name="_Toc14779567"/>
    </w:p>
    <w:p w14:paraId="63D9CF0D" w14:textId="77777777" w:rsidR="00BC621A" w:rsidRDefault="00BC621A" w:rsidP="00BC621A">
      <w:pPr>
        <w:pStyle w:val="Subheading1a"/>
        <w:outlineLvl w:val="2"/>
        <w:rPr>
          <w:rFonts w:asciiTheme="minorHAnsi" w:hAnsiTheme="minorHAnsi" w:cstheme="minorHAnsi"/>
          <w:color w:val="000000" w:themeColor="text1"/>
          <w:sz w:val="18"/>
          <w:szCs w:val="18"/>
        </w:rPr>
      </w:pPr>
    </w:p>
    <w:p w14:paraId="35E8FF1D" w14:textId="77777777" w:rsidR="00BC621A" w:rsidRPr="00786A78" w:rsidRDefault="00BC621A" w:rsidP="00786A78">
      <w:pPr>
        <w:pStyle w:val="Subheading1a"/>
        <w:outlineLvl w:val="2"/>
        <w:rPr>
          <w:rFonts w:asciiTheme="minorHAnsi" w:hAnsiTheme="minorHAnsi" w:cstheme="minorHAnsi"/>
          <w:color w:val="000000" w:themeColor="text1"/>
          <w:sz w:val="18"/>
          <w:szCs w:val="18"/>
        </w:rPr>
      </w:pPr>
      <w:r w:rsidRPr="00786A78">
        <w:rPr>
          <w:rFonts w:asciiTheme="minorHAnsi" w:hAnsiTheme="minorHAnsi" w:cstheme="minorHAnsi"/>
          <w:color w:val="000000" w:themeColor="text1"/>
          <w:sz w:val="18"/>
          <w:szCs w:val="18"/>
        </w:rPr>
        <w:t>Greenhouse gas disclosures</w:t>
      </w:r>
      <w:bookmarkEnd w:id="1"/>
    </w:p>
    <w:p w14:paraId="468FC9C3" w14:textId="77777777" w:rsidR="00BC621A" w:rsidRPr="00786A78" w:rsidRDefault="00BC621A" w:rsidP="00786A78">
      <w:pPr>
        <w:autoSpaceDE w:val="0"/>
        <w:autoSpaceDN w:val="0"/>
        <w:adjustRightInd w:val="0"/>
        <w:rPr>
          <w:rFonts w:cstheme="minorHAnsi"/>
          <w:color w:val="000000"/>
          <w:sz w:val="18"/>
          <w:szCs w:val="18"/>
        </w:rPr>
      </w:pPr>
      <w:r w:rsidRPr="00786A78">
        <w:rPr>
          <w:rFonts w:cstheme="minorHAnsi"/>
          <w:color w:val="000000"/>
          <w:sz w:val="18"/>
          <w:szCs w:val="18"/>
        </w:rPr>
        <w:t xml:space="preserve">As the </w:t>
      </w:r>
      <w:r>
        <w:rPr>
          <w:rFonts w:cstheme="minorHAnsi"/>
          <w:color w:val="000000"/>
          <w:sz w:val="18"/>
          <w:szCs w:val="18"/>
        </w:rPr>
        <w:t>Company</w:t>
      </w:r>
      <w:r w:rsidRPr="00786A78">
        <w:rPr>
          <w:rFonts w:cstheme="minorHAnsi"/>
          <w:color w:val="000000"/>
          <w:sz w:val="18"/>
          <w:szCs w:val="18"/>
        </w:rPr>
        <w:t xml:space="preserve"> </w:t>
      </w:r>
      <w:r>
        <w:rPr>
          <w:rFonts w:cstheme="minorHAnsi"/>
          <w:color w:val="000000"/>
          <w:sz w:val="18"/>
          <w:szCs w:val="18"/>
        </w:rPr>
        <w:t>does not currently have any operations</w:t>
      </w:r>
      <w:r w:rsidRPr="00786A78">
        <w:rPr>
          <w:rFonts w:cstheme="minorHAnsi"/>
          <w:color w:val="000000"/>
          <w:sz w:val="18"/>
          <w:szCs w:val="18"/>
        </w:rPr>
        <w:t xml:space="preserve">, it is not practical to obtain and analyse emissions data for the Company operations.  However, given the </w:t>
      </w:r>
      <w:r>
        <w:rPr>
          <w:rFonts w:cstheme="minorHAnsi"/>
          <w:color w:val="000000"/>
          <w:sz w:val="18"/>
          <w:szCs w:val="18"/>
        </w:rPr>
        <w:t>lack</w:t>
      </w:r>
      <w:r w:rsidRPr="00786A78">
        <w:rPr>
          <w:rFonts w:cstheme="minorHAnsi"/>
          <w:color w:val="000000"/>
          <w:sz w:val="18"/>
          <w:szCs w:val="18"/>
        </w:rPr>
        <w:t xml:space="preserve"> of physical operations in the year, and the lack of any plant or office space, the carbon footprint and climate change impact of the </w:t>
      </w:r>
      <w:r>
        <w:rPr>
          <w:rFonts w:cstheme="minorHAnsi"/>
          <w:color w:val="000000"/>
          <w:sz w:val="18"/>
          <w:szCs w:val="18"/>
        </w:rPr>
        <w:t>Company’s</w:t>
      </w:r>
      <w:r w:rsidRPr="00786A78">
        <w:rPr>
          <w:rFonts w:cstheme="minorHAnsi"/>
          <w:color w:val="000000"/>
          <w:sz w:val="18"/>
          <w:szCs w:val="18"/>
        </w:rPr>
        <w:t xml:space="preserve"> operations are considered to be negligible, and in any event below the 40 MWh threshold prescribed for detailed emissions disclosures.  </w:t>
      </w:r>
    </w:p>
    <w:p w14:paraId="153C0998" w14:textId="77777777" w:rsidR="00BC621A" w:rsidRPr="00BC621A" w:rsidRDefault="00BC621A" w:rsidP="00786A78">
      <w:pPr>
        <w:autoSpaceDE w:val="0"/>
        <w:autoSpaceDN w:val="0"/>
        <w:adjustRightInd w:val="0"/>
        <w:spacing w:after="0"/>
        <w:rPr>
          <w:rFonts w:cstheme="minorHAnsi"/>
          <w:b/>
          <w:sz w:val="18"/>
          <w:szCs w:val="18"/>
          <w:lang w:eastAsia="en-GB"/>
        </w:rPr>
      </w:pPr>
      <w:r w:rsidRPr="00786A78">
        <w:rPr>
          <w:rFonts w:cstheme="minorHAnsi"/>
          <w:color w:val="000000"/>
          <w:sz w:val="18"/>
          <w:szCs w:val="18"/>
        </w:rPr>
        <w:t xml:space="preserve">As such, the </w:t>
      </w:r>
      <w:r>
        <w:rPr>
          <w:rFonts w:cstheme="minorHAnsi"/>
          <w:color w:val="000000"/>
          <w:sz w:val="18"/>
          <w:szCs w:val="18"/>
        </w:rPr>
        <w:t>Company</w:t>
      </w:r>
      <w:r w:rsidRPr="00786A78">
        <w:rPr>
          <w:rFonts w:cstheme="minorHAnsi"/>
          <w:color w:val="000000"/>
          <w:sz w:val="18"/>
          <w:szCs w:val="18"/>
        </w:rPr>
        <w:t xml:space="preserve"> does not consider it relevant to provide climate related disclosures under the recently enacted TCFD guidelines, nor would determination of the relevant emissions data be practical.  Once the </w:t>
      </w:r>
      <w:r>
        <w:rPr>
          <w:rFonts w:cstheme="minorHAnsi"/>
          <w:color w:val="000000"/>
          <w:sz w:val="18"/>
          <w:szCs w:val="18"/>
        </w:rPr>
        <w:t>Company</w:t>
      </w:r>
      <w:r w:rsidRPr="00786A78">
        <w:rPr>
          <w:rFonts w:cstheme="minorHAnsi"/>
          <w:color w:val="000000"/>
          <w:sz w:val="18"/>
          <w:szCs w:val="18"/>
        </w:rPr>
        <w:t xml:space="preserve"> </w:t>
      </w:r>
      <w:r>
        <w:rPr>
          <w:rFonts w:cstheme="minorHAnsi"/>
          <w:color w:val="000000"/>
          <w:sz w:val="18"/>
          <w:szCs w:val="18"/>
        </w:rPr>
        <w:t>has completed a project acquisition</w:t>
      </w:r>
      <w:r w:rsidRPr="00786A78">
        <w:rPr>
          <w:rFonts w:cstheme="minorHAnsi"/>
          <w:color w:val="000000"/>
          <w:sz w:val="18"/>
          <w:szCs w:val="18"/>
        </w:rPr>
        <w:t>, and hence transitioned into an operating company, it will revisit its position on climate disclosures accordingly.</w:t>
      </w:r>
    </w:p>
    <w:p w14:paraId="3B48D832" w14:textId="77777777" w:rsidR="00890FE3" w:rsidRPr="00BC621A" w:rsidRDefault="00890FE3" w:rsidP="00890FE3">
      <w:pPr>
        <w:autoSpaceDE w:val="0"/>
        <w:autoSpaceDN w:val="0"/>
        <w:adjustRightInd w:val="0"/>
        <w:spacing w:after="0"/>
        <w:rPr>
          <w:rFonts w:cstheme="minorHAnsi"/>
          <w:b/>
          <w:sz w:val="18"/>
          <w:szCs w:val="18"/>
          <w:lang w:eastAsia="en-GB"/>
        </w:rPr>
      </w:pPr>
      <w:r w:rsidRPr="00BC621A">
        <w:rPr>
          <w:rFonts w:cstheme="minorHAnsi"/>
          <w:b/>
          <w:sz w:val="18"/>
          <w:szCs w:val="18"/>
          <w:lang w:eastAsia="en-GB"/>
        </w:rPr>
        <w:t>Financial risk management and future development</w:t>
      </w:r>
    </w:p>
    <w:p w14:paraId="749AD70B" w14:textId="77777777" w:rsidR="00890FE3" w:rsidRPr="004856E9" w:rsidRDefault="00890FE3" w:rsidP="00AF584C">
      <w:pPr>
        <w:spacing w:after="0"/>
        <w:rPr>
          <w:rFonts w:cs="Arial"/>
          <w:sz w:val="18"/>
          <w:szCs w:val="18"/>
          <w:lang w:eastAsia="en-GB"/>
        </w:rPr>
      </w:pPr>
      <w:r w:rsidRPr="004856E9">
        <w:rPr>
          <w:rFonts w:cs="Arial"/>
          <w:sz w:val="18"/>
          <w:szCs w:val="18"/>
          <w:lang w:eastAsia="en-GB"/>
        </w:rPr>
        <w:t>An indication of the likely future developments in the business of the Company are included in the Strategic Report.</w:t>
      </w:r>
    </w:p>
    <w:p w14:paraId="7338BBE0" w14:textId="77777777" w:rsidR="00890FE3" w:rsidRPr="004856E9" w:rsidRDefault="00890FE3" w:rsidP="00AF584C">
      <w:pPr>
        <w:spacing w:after="0"/>
        <w:rPr>
          <w:rFonts w:cs="Arial"/>
          <w:sz w:val="18"/>
          <w:szCs w:val="18"/>
          <w:lang w:eastAsia="en-GB"/>
        </w:rPr>
      </w:pPr>
      <w:r w:rsidRPr="004856E9">
        <w:rPr>
          <w:rFonts w:cs="Arial"/>
          <w:sz w:val="18"/>
          <w:szCs w:val="18"/>
          <w:lang w:eastAsia="en-GB"/>
        </w:rPr>
        <w:t xml:space="preserve">An explanation of the Company’s financial risk management objectives, policies and strategies is set </w:t>
      </w:r>
      <w:r w:rsidR="00F759D1" w:rsidRPr="004856E9">
        <w:rPr>
          <w:rFonts w:cs="Arial"/>
          <w:sz w:val="18"/>
          <w:szCs w:val="18"/>
          <w:lang w:eastAsia="en-GB"/>
        </w:rPr>
        <w:t xml:space="preserve">out in note </w:t>
      </w:r>
      <w:r w:rsidR="00FF1E2B" w:rsidRPr="004856E9">
        <w:rPr>
          <w:rFonts w:cs="Arial"/>
          <w:sz w:val="18"/>
          <w:szCs w:val="18"/>
          <w:lang w:eastAsia="en-GB"/>
        </w:rPr>
        <w:t>10</w:t>
      </w:r>
      <w:r w:rsidRPr="004856E9">
        <w:rPr>
          <w:rFonts w:cs="Arial"/>
          <w:sz w:val="18"/>
          <w:szCs w:val="18"/>
          <w:lang w:eastAsia="en-GB"/>
        </w:rPr>
        <w:t>.</w:t>
      </w:r>
    </w:p>
    <w:p w14:paraId="628C7C61" w14:textId="77777777" w:rsidR="00890FE3" w:rsidRPr="004856E9" w:rsidRDefault="00890FE3" w:rsidP="00890FE3">
      <w:pPr>
        <w:autoSpaceDE w:val="0"/>
        <w:autoSpaceDN w:val="0"/>
        <w:adjustRightInd w:val="0"/>
        <w:spacing w:after="0"/>
        <w:rPr>
          <w:rFonts w:cs="Arial"/>
          <w:b/>
          <w:sz w:val="18"/>
          <w:szCs w:val="18"/>
          <w:lang w:eastAsia="en-GB"/>
        </w:rPr>
      </w:pPr>
      <w:r w:rsidRPr="004856E9">
        <w:rPr>
          <w:rFonts w:cs="Arial"/>
          <w:b/>
          <w:sz w:val="18"/>
          <w:szCs w:val="18"/>
          <w:lang w:eastAsia="en-GB"/>
        </w:rPr>
        <w:t>Auditors</w:t>
      </w:r>
    </w:p>
    <w:p w14:paraId="428C86C1" w14:textId="77777777" w:rsidR="00890FE3" w:rsidRPr="004856E9" w:rsidRDefault="00890FE3" w:rsidP="00890FE3">
      <w:pPr>
        <w:autoSpaceDE w:val="0"/>
        <w:autoSpaceDN w:val="0"/>
        <w:adjustRightInd w:val="0"/>
        <w:spacing w:after="0"/>
        <w:rPr>
          <w:rFonts w:cs="Arial"/>
          <w:sz w:val="18"/>
          <w:szCs w:val="18"/>
          <w:lang w:eastAsia="en-GB"/>
        </w:rPr>
      </w:pPr>
      <w:r w:rsidRPr="004856E9">
        <w:rPr>
          <w:rFonts w:cs="Arial"/>
          <w:sz w:val="18"/>
          <w:szCs w:val="18"/>
          <w:lang w:eastAsia="en-GB"/>
        </w:rPr>
        <w:t xml:space="preserve">The auditors, Crowe </w:t>
      </w:r>
      <w:r w:rsidR="00AF584C" w:rsidRPr="004856E9">
        <w:rPr>
          <w:rFonts w:cs="Arial"/>
          <w:sz w:val="18"/>
          <w:szCs w:val="18"/>
          <w:lang w:eastAsia="en-GB"/>
        </w:rPr>
        <w:t>U.K.</w:t>
      </w:r>
      <w:r w:rsidRPr="004856E9">
        <w:rPr>
          <w:rFonts w:cs="Arial"/>
          <w:sz w:val="18"/>
          <w:szCs w:val="18"/>
          <w:lang w:eastAsia="en-GB"/>
        </w:rPr>
        <w:t xml:space="preserve"> LLP, have expressed their willingness to continue in office and a resolution to reappoint them will be proposed at the Annual General Meeting.</w:t>
      </w:r>
    </w:p>
    <w:p w14:paraId="241A7B13" w14:textId="77777777" w:rsidR="00890FE3" w:rsidRPr="004856E9" w:rsidRDefault="00890FE3" w:rsidP="00F759D1">
      <w:pPr>
        <w:autoSpaceDE w:val="0"/>
        <w:autoSpaceDN w:val="0"/>
        <w:adjustRightInd w:val="0"/>
        <w:spacing w:after="0"/>
        <w:rPr>
          <w:rFonts w:cs="Arial"/>
          <w:b/>
          <w:sz w:val="18"/>
          <w:szCs w:val="18"/>
          <w:lang w:eastAsia="en-GB"/>
        </w:rPr>
      </w:pPr>
      <w:r w:rsidRPr="004856E9">
        <w:rPr>
          <w:rFonts w:cs="Arial"/>
          <w:b/>
          <w:sz w:val="18"/>
          <w:szCs w:val="18"/>
          <w:lang w:eastAsia="en-GB"/>
        </w:rPr>
        <w:t>Events after the reporting date</w:t>
      </w:r>
    </w:p>
    <w:p w14:paraId="26F03D07" w14:textId="77777777" w:rsidR="009F0650" w:rsidRPr="004856E9" w:rsidRDefault="009F0650" w:rsidP="009F0650">
      <w:pPr>
        <w:widowControl/>
        <w:spacing w:before="0" w:after="0"/>
        <w:contextualSpacing/>
        <w:jc w:val="left"/>
        <w:rPr>
          <w:rFonts w:cs="Arial"/>
          <w:bCs/>
          <w:sz w:val="18"/>
          <w:szCs w:val="18"/>
          <w:lang w:eastAsia="en-GB"/>
        </w:rPr>
      </w:pPr>
    </w:p>
    <w:p w14:paraId="69620710" w14:textId="77777777" w:rsidR="00E14B1B" w:rsidRPr="004856E9" w:rsidRDefault="009F0650" w:rsidP="009F0650">
      <w:pPr>
        <w:widowControl/>
        <w:spacing w:before="0" w:after="0"/>
        <w:contextualSpacing/>
        <w:jc w:val="left"/>
        <w:rPr>
          <w:rFonts w:cs="Arial"/>
          <w:bCs/>
          <w:sz w:val="18"/>
          <w:szCs w:val="18"/>
          <w:lang w:eastAsia="en-GB"/>
        </w:rPr>
      </w:pPr>
      <w:r w:rsidRPr="004856E9">
        <w:rPr>
          <w:rFonts w:cs="Arial"/>
          <w:bCs/>
          <w:sz w:val="18"/>
          <w:szCs w:val="18"/>
          <w:lang w:eastAsia="en-GB"/>
        </w:rPr>
        <w:t xml:space="preserve">There have been no material events subsequent to the year end.  </w:t>
      </w:r>
    </w:p>
    <w:p w14:paraId="70B5E2A0" w14:textId="32CAC41F" w:rsidR="00890FE3" w:rsidRPr="004856E9" w:rsidRDefault="00890FE3" w:rsidP="00890FE3">
      <w:pPr>
        <w:spacing w:after="0"/>
        <w:rPr>
          <w:rFonts w:cs="Arial"/>
          <w:sz w:val="18"/>
          <w:szCs w:val="18"/>
          <w:lang w:eastAsia="en-GB"/>
        </w:rPr>
      </w:pPr>
      <w:r w:rsidRPr="004856E9">
        <w:rPr>
          <w:rFonts w:cs="Arial"/>
          <w:sz w:val="18"/>
          <w:szCs w:val="18"/>
          <w:lang w:eastAsia="en-GB"/>
        </w:rPr>
        <w:t>Th</w:t>
      </w:r>
      <w:r w:rsidR="006D02F9" w:rsidRPr="004856E9">
        <w:rPr>
          <w:rFonts w:cs="Arial"/>
          <w:sz w:val="18"/>
          <w:szCs w:val="18"/>
          <w:lang w:eastAsia="en-GB"/>
        </w:rPr>
        <w:t>e Directors’ Report</w:t>
      </w:r>
      <w:r w:rsidRPr="004856E9">
        <w:rPr>
          <w:rFonts w:cs="Arial"/>
          <w:sz w:val="18"/>
          <w:szCs w:val="18"/>
          <w:lang w:eastAsia="en-GB"/>
        </w:rPr>
        <w:t xml:space="preserve"> was approved by the Board of </w:t>
      </w:r>
      <w:r w:rsidRPr="003C3366">
        <w:rPr>
          <w:rFonts w:cs="Arial"/>
          <w:sz w:val="18"/>
          <w:szCs w:val="18"/>
          <w:lang w:eastAsia="en-GB"/>
        </w:rPr>
        <w:t>Directors o</w:t>
      </w:r>
      <w:r w:rsidR="003D2A29" w:rsidRPr="003C3366">
        <w:rPr>
          <w:rFonts w:cs="Arial"/>
          <w:sz w:val="18"/>
          <w:szCs w:val="18"/>
          <w:lang w:eastAsia="en-GB"/>
        </w:rPr>
        <w:t xml:space="preserve">n </w:t>
      </w:r>
      <w:r w:rsidR="00647FF5" w:rsidRPr="003C3366">
        <w:rPr>
          <w:rFonts w:cs="Arial"/>
          <w:sz w:val="18"/>
          <w:szCs w:val="18"/>
          <w:lang w:eastAsia="en-GB"/>
        </w:rPr>
        <w:t>26 May</w:t>
      </w:r>
      <w:r w:rsidR="00202E27" w:rsidRPr="003C3366">
        <w:rPr>
          <w:rFonts w:cs="Arial"/>
          <w:sz w:val="18"/>
          <w:szCs w:val="18"/>
          <w:lang w:eastAsia="en-GB"/>
        </w:rPr>
        <w:t xml:space="preserve"> 202</w:t>
      </w:r>
      <w:r w:rsidR="00384A2D" w:rsidRPr="003C3366">
        <w:rPr>
          <w:rFonts w:cs="Arial"/>
          <w:sz w:val="18"/>
          <w:szCs w:val="18"/>
          <w:lang w:eastAsia="en-GB"/>
        </w:rPr>
        <w:t>2</w:t>
      </w:r>
      <w:r w:rsidRPr="003C3366">
        <w:rPr>
          <w:rFonts w:cs="Arial"/>
          <w:sz w:val="18"/>
          <w:szCs w:val="18"/>
          <w:lang w:eastAsia="en-GB"/>
        </w:rPr>
        <w:t xml:space="preserve"> and is</w:t>
      </w:r>
      <w:r w:rsidRPr="004856E9">
        <w:rPr>
          <w:rFonts w:cs="Arial"/>
          <w:sz w:val="18"/>
          <w:szCs w:val="18"/>
          <w:lang w:eastAsia="en-GB"/>
        </w:rPr>
        <w:t xml:space="preserve"> signed on its behalf by</w:t>
      </w:r>
      <w:r w:rsidR="00202E27" w:rsidRPr="004856E9">
        <w:rPr>
          <w:rFonts w:cs="Arial"/>
          <w:sz w:val="18"/>
          <w:szCs w:val="18"/>
          <w:lang w:eastAsia="en-GB"/>
        </w:rPr>
        <w:t>:</w:t>
      </w:r>
    </w:p>
    <w:p w14:paraId="0CC410F6" w14:textId="77777777" w:rsidR="00890FE3" w:rsidRPr="004856E9" w:rsidRDefault="00890FE3" w:rsidP="00890FE3">
      <w:pPr>
        <w:spacing w:after="0"/>
        <w:rPr>
          <w:rFonts w:eastAsia="MS Mincho" w:cstheme="minorHAnsi"/>
          <w:color w:val="000000"/>
          <w:sz w:val="18"/>
          <w:szCs w:val="18"/>
          <w:highlight w:val="yellow"/>
          <w:lang w:val="en-US" w:eastAsia="zh-TW"/>
        </w:rPr>
      </w:pPr>
    </w:p>
    <w:p w14:paraId="58CB5228" w14:textId="77777777" w:rsidR="00F240FE" w:rsidRPr="004856E9" w:rsidRDefault="00F240FE" w:rsidP="00890FE3">
      <w:pPr>
        <w:spacing w:after="0"/>
        <w:rPr>
          <w:rFonts w:cstheme="minorHAnsi"/>
          <w:sz w:val="18"/>
          <w:szCs w:val="18"/>
          <w:highlight w:val="yellow"/>
        </w:rPr>
      </w:pPr>
    </w:p>
    <w:p w14:paraId="0B1BA97E" w14:textId="77777777" w:rsidR="003239AE" w:rsidRPr="00CB261F" w:rsidRDefault="00F240FE" w:rsidP="00F240FE">
      <w:pPr>
        <w:spacing w:before="0" w:after="0"/>
        <w:rPr>
          <w:rFonts w:cstheme="minorHAnsi"/>
          <w:b/>
          <w:sz w:val="18"/>
          <w:szCs w:val="18"/>
        </w:rPr>
      </w:pPr>
      <w:r w:rsidRPr="00CB261F">
        <w:rPr>
          <w:rFonts w:cstheme="minorHAnsi"/>
          <w:b/>
          <w:sz w:val="18"/>
          <w:szCs w:val="18"/>
        </w:rPr>
        <w:t>Roy Pitchford</w:t>
      </w:r>
    </w:p>
    <w:p w14:paraId="3F41FBE6" w14:textId="77777777" w:rsidR="00E922D3" w:rsidRPr="00CB261F" w:rsidRDefault="00890FE3" w:rsidP="00F240FE">
      <w:pPr>
        <w:spacing w:before="0" w:after="0"/>
        <w:rPr>
          <w:rFonts w:cstheme="minorHAnsi"/>
          <w:bCs/>
          <w:i/>
          <w:iCs/>
          <w:sz w:val="18"/>
          <w:szCs w:val="18"/>
        </w:rPr>
      </w:pPr>
      <w:r w:rsidRPr="00CB261F">
        <w:rPr>
          <w:rFonts w:cstheme="minorHAnsi"/>
          <w:bCs/>
          <w:i/>
          <w:iCs/>
          <w:sz w:val="18"/>
          <w:szCs w:val="18"/>
        </w:rPr>
        <w:t>Director</w:t>
      </w:r>
    </w:p>
    <w:p w14:paraId="263062B8" w14:textId="1FA15DA7" w:rsidR="00012DDC" w:rsidRDefault="00856F5D" w:rsidP="00332D3B">
      <w:pPr>
        <w:spacing w:before="0" w:after="0"/>
        <w:rPr>
          <w:rFonts w:cstheme="minorHAnsi"/>
          <w:bCs/>
          <w:sz w:val="18"/>
          <w:szCs w:val="18"/>
        </w:rPr>
      </w:pPr>
      <w:r w:rsidRPr="003C3366">
        <w:rPr>
          <w:rFonts w:cstheme="minorHAnsi"/>
          <w:bCs/>
          <w:sz w:val="18"/>
          <w:szCs w:val="18"/>
        </w:rPr>
        <w:t>26</w:t>
      </w:r>
      <w:r w:rsidR="00647FF5" w:rsidRPr="003C3366">
        <w:rPr>
          <w:rFonts w:cstheme="minorHAnsi"/>
          <w:bCs/>
          <w:sz w:val="18"/>
          <w:szCs w:val="18"/>
        </w:rPr>
        <w:t xml:space="preserve"> May</w:t>
      </w:r>
      <w:r w:rsidR="00E922D3" w:rsidRPr="00CB261F">
        <w:rPr>
          <w:rFonts w:cstheme="minorHAnsi"/>
          <w:bCs/>
          <w:sz w:val="18"/>
          <w:szCs w:val="18"/>
        </w:rPr>
        <w:t xml:space="preserve"> 20</w:t>
      </w:r>
      <w:r w:rsidR="006B5FCE" w:rsidRPr="00CB261F">
        <w:rPr>
          <w:rFonts w:cstheme="minorHAnsi"/>
          <w:bCs/>
          <w:sz w:val="18"/>
          <w:szCs w:val="18"/>
        </w:rPr>
        <w:t>2</w:t>
      </w:r>
      <w:r w:rsidR="00CB261F">
        <w:rPr>
          <w:rFonts w:cstheme="minorHAnsi"/>
          <w:bCs/>
          <w:sz w:val="18"/>
          <w:szCs w:val="18"/>
        </w:rPr>
        <w:t>3</w:t>
      </w:r>
      <w:r w:rsidR="00012DDC">
        <w:rPr>
          <w:rFonts w:cstheme="minorHAnsi"/>
          <w:bCs/>
          <w:sz w:val="18"/>
          <w:szCs w:val="18"/>
        </w:rPr>
        <w:br w:type="page"/>
      </w:r>
    </w:p>
    <w:p w14:paraId="411CC226" w14:textId="77777777" w:rsidR="00012DDC" w:rsidRPr="00CB261F" w:rsidRDefault="00012DDC" w:rsidP="00F240FE">
      <w:pPr>
        <w:spacing w:before="0" w:after="0"/>
        <w:rPr>
          <w:rFonts w:ascii="Times New Roman" w:hAnsi="Times New Roman"/>
          <w:sz w:val="24"/>
          <w:szCs w:val="24"/>
        </w:rPr>
        <w:sectPr w:rsidR="00012DDC" w:rsidRPr="00CB261F" w:rsidSect="00415C29">
          <w:headerReference w:type="default" r:id="rId18"/>
          <w:footerReference w:type="default" r:id="rId19"/>
          <w:type w:val="continuous"/>
          <w:pgSz w:w="11906" w:h="16838"/>
          <w:pgMar w:top="1440" w:right="1440" w:bottom="1440" w:left="1440" w:header="708" w:footer="708" w:gutter="0"/>
          <w:cols w:space="708"/>
          <w:titlePg/>
          <w:docGrid w:linePitch="360"/>
        </w:sectPr>
      </w:pPr>
    </w:p>
    <w:p w14:paraId="4A1AE99D" w14:textId="565F32AE" w:rsidR="00012DDC" w:rsidRPr="004856E9" w:rsidRDefault="00012DDC" w:rsidP="00012DDC">
      <w:pPr>
        <w:widowControl/>
        <w:spacing w:before="0" w:after="0"/>
        <w:jc w:val="left"/>
        <w:rPr>
          <w:rFonts w:cs="Arial"/>
          <w:b/>
          <w:sz w:val="18"/>
          <w:szCs w:val="18"/>
          <w:lang w:eastAsia="en-GB"/>
        </w:rPr>
      </w:pPr>
      <w:r w:rsidRPr="004856E9">
        <w:rPr>
          <w:rFonts w:cstheme="minorHAnsi"/>
          <w:b/>
          <w:bCs/>
          <w:szCs w:val="20"/>
        </w:rPr>
        <w:lastRenderedPageBreak/>
        <w:t xml:space="preserve">DIRECTORS’ </w:t>
      </w:r>
      <w:r>
        <w:rPr>
          <w:rFonts w:cstheme="minorHAnsi"/>
          <w:b/>
          <w:bCs/>
          <w:szCs w:val="20"/>
        </w:rPr>
        <w:t xml:space="preserve">REMUNERATION </w:t>
      </w:r>
      <w:r w:rsidRPr="004856E9">
        <w:rPr>
          <w:rFonts w:cstheme="minorHAnsi"/>
          <w:b/>
          <w:bCs/>
          <w:szCs w:val="20"/>
        </w:rPr>
        <w:t>REPORT</w:t>
      </w:r>
    </w:p>
    <w:p w14:paraId="0AFDB088" w14:textId="77777777" w:rsidR="00012DDC" w:rsidRDefault="00012DDC" w:rsidP="00012DDC">
      <w:pPr>
        <w:tabs>
          <w:tab w:val="left" w:pos="5387"/>
          <w:tab w:val="left" w:pos="7230"/>
        </w:tabs>
        <w:spacing w:after="0"/>
        <w:rPr>
          <w:rFonts w:cs="Arial"/>
          <w:b/>
          <w:sz w:val="18"/>
          <w:szCs w:val="18"/>
          <w:lang w:eastAsia="en-GB"/>
        </w:rPr>
      </w:pPr>
    </w:p>
    <w:p w14:paraId="70E27F05" w14:textId="72A6FB25" w:rsidR="00012DDC" w:rsidRPr="004856E9" w:rsidRDefault="00012DDC" w:rsidP="00012DDC">
      <w:pPr>
        <w:tabs>
          <w:tab w:val="left" w:pos="5387"/>
          <w:tab w:val="left" w:pos="7230"/>
        </w:tabs>
        <w:spacing w:after="0"/>
        <w:rPr>
          <w:rFonts w:cs="Arial"/>
          <w:b/>
          <w:sz w:val="18"/>
          <w:szCs w:val="18"/>
          <w:lang w:eastAsia="en-GB"/>
        </w:rPr>
      </w:pPr>
      <w:r w:rsidRPr="004856E9">
        <w:rPr>
          <w:rFonts w:cs="Arial"/>
          <w:b/>
          <w:sz w:val="18"/>
          <w:szCs w:val="18"/>
          <w:lang w:eastAsia="en-GB"/>
        </w:rPr>
        <w:t xml:space="preserve">Directors </w:t>
      </w:r>
    </w:p>
    <w:p w14:paraId="3C2FCDD1" w14:textId="77777777" w:rsidR="00012DDC" w:rsidRDefault="00012DDC" w:rsidP="00012DDC">
      <w:pPr>
        <w:tabs>
          <w:tab w:val="left" w:pos="5387"/>
          <w:tab w:val="left" w:pos="7230"/>
        </w:tabs>
        <w:spacing w:after="0"/>
        <w:rPr>
          <w:rFonts w:cs="Arial"/>
          <w:sz w:val="18"/>
          <w:szCs w:val="18"/>
          <w:lang w:eastAsia="en-GB"/>
        </w:rPr>
      </w:pPr>
      <w:r w:rsidRPr="004856E9">
        <w:rPr>
          <w:rFonts w:cs="Arial"/>
          <w:sz w:val="18"/>
          <w:szCs w:val="18"/>
          <w:lang w:eastAsia="en-GB"/>
        </w:rPr>
        <w:t>The Directors of the Company during the year were as follows, all being non-executive Directors:</w:t>
      </w:r>
    </w:p>
    <w:p w14:paraId="74E0E663" w14:textId="77777777" w:rsidR="003A763C" w:rsidRPr="004856E9" w:rsidRDefault="003A763C" w:rsidP="00012DDC">
      <w:pPr>
        <w:tabs>
          <w:tab w:val="left" w:pos="5387"/>
          <w:tab w:val="left" w:pos="7230"/>
        </w:tabs>
        <w:spacing w:after="0"/>
        <w:rPr>
          <w:rFonts w:cs="Arial"/>
          <w:sz w:val="18"/>
          <w:szCs w:val="18"/>
          <w:lang w:eastAsia="en-GB"/>
        </w:rPr>
      </w:pPr>
    </w:p>
    <w:p w14:paraId="10F78D17" w14:textId="77777777" w:rsidR="00012DDC" w:rsidRPr="006B15F1" w:rsidRDefault="00012DDC" w:rsidP="006B15F1">
      <w:pPr>
        <w:pStyle w:val="ListParagraph"/>
        <w:numPr>
          <w:ilvl w:val="0"/>
          <w:numId w:val="41"/>
        </w:numPr>
        <w:autoSpaceDE w:val="0"/>
        <w:autoSpaceDN w:val="0"/>
        <w:adjustRightInd w:val="0"/>
        <w:spacing w:after="0"/>
        <w:rPr>
          <w:rFonts w:cs="Arial"/>
          <w:sz w:val="18"/>
          <w:szCs w:val="18"/>
          <w:lang w:eastAsia="en-GB"/>
        </w:rPr>
      </w:pPr>
      <w:proofErr w:type="spellStart"/>
      <w:r w:rsidRPr="006B15F1">
        <w:rPr>
          <w:rFonts w:cs="Arial"/>
          <w:sz w:val="18"/>
          <w:szCs w:val="18"/>
          <w:lang w:eastAsia="en-GB"/>
        </w:rPr>
        <w:t>Konosoang</w:t>
      </w:r>
      <w:proofErr w:type="spellEnd"/>
      <w:r w:rsidRPr="006B15F1">
        <w:rPr>
          <w:rFonts w:cs="Arial"/>
          <w:sz w:val="18"/>
          <w:szCs w:val="18"/>
          <w:lang w:eastAsia="en-GB"/>
        </w:rPr>
        <w:t xml:space="preserve"> Asare-Bediako</w:t>
      </w:r>
    </w:p>
    <w:p w14:paraId="03EC6DBF" w14:textId="77777777" w:rsidR="00012DDC" w:rsidRPr="006B15F1" w:rsidRDefault="00012DDC" w:rsidP="006B15F1">
      <w:pPr>
        <w:pStyle w:val="ListParagraph"/>
        <w:numPr>
          <w:ilvl w:val="0"/>
          <w:numId w:val="41"/>
        </w:numPr>
        <w:autoSpaceDE w:val="0"/>
        <w:autoSpaceDN w:val="0"/>
        <w:adjustRightInd w:val="0"/>
        <w:spacing w:after="0"/>
        <w:rPr>
          <w:rFonts w:cs="Arial"/>
          <w:sz w:val="18"/>
          <w:szCs w:val="18"/>
          <w:lang w:eastAsia="en-GB"/>
        </w:rPr>
      </w:pPr>
      <w:r w:rsidRPr="006B15F1">
        <w:rPr>
          <w:rFonts w:cs="Arial"/>
          <w:sz w:val="18"/>
          <w:szCs w:val="18"/>
          <w:lang w:eastAsia="en-GB"/>
        </w:rPr>
        <w:t>Roy Pitchford</w:t>
      </w:r>
    </w:p>
    <w:p w14:paraId="203AE951" w14:textId="77777777" w:rsidR="00012DDC" w:rsidRPr="006B15F1" w:rsidRDefault="00012DDC" w:rsidP="006B15F1">
      <w:pPr>
        <w:pStyle w:val="ListParagraph"/>
        <w:numPr>
          <w:ilvl w:val="0"/>
          <w:numId w:val="41"/>
        </w:numPr>
        <w:autoSpaceDE w:val="0"/>
        <w:autoSpaceDN w:val="0"/>
        <w:adjustRightInd w:val="0"/>
        <w:spacing w:after="0"/>
        <w:rPr>
          <w:rFonts w:cs="Arial"/>
          <w:sz w:val="18"/>
          <w:szCs w:val="18"/>
          <w:lang w:eastAsia="en-GB"/>
        </w:rPr>
      </w:pPr>
      <w:r w:rsidRPr="006B15F1">
        <w:rPr>
          <w:rFonts w:cs="Arial"/>
          <w:sz w:val="18"/>
          <w:szCs w:val="18"/>
          <w:lang w:eastAsia="en-GB"/>
        </w:rPr>
        <w:t>Michael Stewart</w:t>
      </w:r>
    </w:p>
    <w:p w14:paraId="0F15935B" w14:textId="77777777" w:rsidR="00012DDC" w:rsidRPr="006B15F1" w:rsidRDefault="00012DDC" w:rsidP="006B15F1">
      <w:pPr>
        <w:pStyle w:val="ListParagraph"/>
        <w:numPr>
          <w:ilvl w:val="0"/>
          <w:numId w:val="41"/>
        </w:numPr>
        <w:autoSpaceDE w:val="0"/>
        <w:autoSpaceDN w:val="0"/>
        <w:adjustRightInd w:val="0"/>
        <w:spacing w:after="0"/>
        <w:rPr>
          <w:rFonts w:cs="Arial"/>
          <w:sz w:val="18"/>
          <w:szCs w:val="18"/>
          <w:lang w:eastAsia="en-GB"/>
        </w:rPr>
      </w:pPr>
      <w:r w:rsidRPr="006B15F1">
        <w:rPr>
          <w:rFonts w:cs="Arial"/>
          <w:sz w:val="18"/>
          <w:szCs w:val="18"/>
          <w:lang w:eastAsia="en-GB"/>
        </w:rPr>
        <w:t>Jonathan Martin Smith</w:t>
      </w:r>
    </w:p>
    <w:p w14:paraId="09756A06" w14:textId="77777777" w:rsidR="00012DDC" w:rsidRDefault="00012DDC">
      <w:pPr>
        <w:widowControl/>
        <w:spacing w:before="0" w:after="0"/>
        <w:jc w:val="left"/>
        <w:rPr>
          <w:rFonts w:cstheme="minorHAnsi"/>
          <w:b/>
          <w:sz w:val="18"/>
          <w:szCs w:val="18"/>
          <w:highlight w:val="yellow"/>
        </w:rPr>
      </w:pPr>
    </w:p>
    <w:p w14:paraId="2C9CEB7E" w14:textId="77777777" w:rsidR="00012DDC" w:rsidRDefault="00012DDC">
      <w:pPr>
        <w:widowControl/>
        <w:spacing w:before="0" w:after="0"/>
        <w:jc w:val="left"/>
        <w:rPr>
          <w:rFonts w:cstheme="minorHAnsi"/>
          <w:b/>
          <w:sz w:val="18"/>
          <w:szCs w:val="18"/>
          <w:highlight w:val="yellow"/>
        </w:rPr>
      </w:pPr>
    </w:p>
    <w:p w14:paraId="6D26A92D" w14:textId="77777777" w:rsidR="00012DDC" w:rsidRPr="007E73D3" w:rsidRDefault="00012DDC" w:rsidP="00012DDC">
      <w:pPr>
        <w:autoSpaceDE w:val="0"/>
        <w:autoSpaceDN w:val="0"/>
        <w:adjustRightInd w:val="0"/>
        <w:spacing w:after="0"/>
        <w:rPr>
          <w:rFonts w:cs="Arial"/>
          <w:b/>
          <w:bCs/>
          <w:sz w:val="18"/>
          <w:szCs w:val="18"/>
          <w:lang w:eastAsia="en-GB"/>
        </w:rPr>
      </w:pPr>
      <w:r w:rsidRPr="007E73D3">
        <w:rPr>
          <w:rFonts w:cs="Arial"/>
          <w:b/>
          <w:bCs/>
          <w:sz w:val="18"/>
          <w:szCs w:val="18"/>
          <w:lang w:eastAsia="en-GB"/>
        </w:rPr>
        <w:t>Directors’ Remuneration</w:t>
      </w:r>
    </w:p>
    <w:p w14:paraId="534E48AE" w14:textId="0C929714" w:rsidR="00856F5D" w:rsidRDefault="00012DDC" w:rsidP="00012DDC">
      <w:pPr>
        <w:autoSpaceDE w:val="0"/>
        <w:autoSpaceDN w:val="0"/>
        <w:adjustRightInd w:val="0"/>
        <w:spacing w:after="0"/>
        <w:rPr>
          <w:rFonts w:cs="Arial"/>
          <w:sz w:val="18"/>
          <w:szCs w:val="18"/>
          <w:lang w:eastAsia="en-GB"/>
        </w:rPr>
      </w:pPr>
      <w:r w:rsidRPr="00744BE1">
        <w:rPr>
          <w:rFonts w:cs="Arial"/>
          <w:sz w:val="18"/>
          <w:szCs w:val="18"/>
          <w:lang w:eastAsia="en-GB"/>
        </w:rPr>
        <w:t>No amount was paid or become payable to any of the Directors of the Company durin</w:t>
      </w:r>
      <w:r>
        <w:rPr>
          <w:rFonts w:cs="Arial"/>
          <w:sz w:val="18"/>
          <w:szCs w:val="18"/>
          <w:lang w:eastAsia="en-GB"/>
        </w:rPr>
        <w:t xml:space="preserve">g the year ended 31 January 2023 (2022: </w:t>
      </w:r>
      <w:r w:rsidRPr="00AC052C">
        <w:rPr>
          <w:rFonts w:cs="Arial"/>
          <w:sz w:val="18"/>
          <w:szCs w:val="18"/>
          <w:lang w:eastAsia="en-GB"/>
        </w:rPr>
        <w:t>£</w:t>
      </w:r>
      <w:r>
        <w:rPr>
          <w:rFonts w:cs="Arial"/>
          <w:sz w:val="18"/>
          <w:szCs w:val="18"/>
          <w:lang w:eastAsia="en-GB"/>
        </w:rPr>
        <w:t>nil) due to the lack of ongoing operations during this period</w:t>
      </w:r>
      <w:r w:rsidRPr="00744BE1">
        <w:rPr>
          <w:rFonts w:cs="Arial"/>
          <w:sz w:val="18"/>
          <w:szCs w:val="18"/>
          <w:lang w:eastAsia="en-GB"/>
        </w:rPr>
        <w:t>.</w:t>
      </w:r>
      <w:r>
        <w:rPr>
          <w:rFonts w:cs="Arial"/>
          <w:sz w:val="18"/>
          <w:szCs w:val="18"/>
          <w:lang w:eastAsia="en-GB"/>
        </w:rPr>
        <w:t xml:space="preserve">  </w:t>
      </w:r>
    </w:p>
    <w:p w14:paraId="7F350F2A" w14:textId="055970F0" w:rsidR="00012DDC" w:rsidRDefault="00012DDC" w:rsidP="00012DDC">
      <w:pPr>
        <w:autoSpaceDE w:val="0"/>
        <w:autoSpaceDN w:val="0"/>
        <w:adjustRightInd w:val="0"/>
        <w:spacing w:after="0"/>
        <w:rPr>
          <w:rFonts w:cs="Arial"/>
          <w:sz w:val="18"/>
          <w:szCs w:val="18"/>
          <w:lang w:eastAsia="en-GB"/>
        </w:rPr>
      </w:pPr>
      <w:r>
        <w:rPr>
          <w:rFonts w:cs="Arial"/>
          <w:sz w:val="18"/>
          <w:szCs w:val="18"/>
          <w:lang w:eastAsia="en-GB"/>
        </w:rPr>
        <w:t>Directors’ remuneration arrangements will be reviewed and implemented once a suitable project transaction has been advanced to the point of shareholder approval.</w:t>
      </w:r>
    </w:p>
    <w:p w14:paraId="23291F0D" w14:textId="1DD2B0D5" w:rsidR="008354DF" w:rsidRDefault="008354DF">
      <w:pPr>
        <w:widowControl/>
        <w:spacing w:before="0" w:after="0"/>
        <w:jc w:val="left"/>
        <w:rPr>
          <w:rFonts w:cstheme="minorHAnsi"/>
          <w:b/>
          <w:sz w:val="18"/>
          <w:szCs w:val="18"/>
          <w:highlight w:val="yellow"/>
        </w:rPr>
      </w:pPr>
    </w:p>
    <w:p w14:paraId="5A83DD88" w14:textId="06A3BF9B" w:rsidR="008354DF" w:rsidRDefault="008354DF">
      <w:pPr>
        <w:widowControl/>
        <w:spacing w:before="0" w:after="0"/>
        <w:jc w:val="left"/>
        <w:rPr>
          <w:rFonts w:cstheme="minorHAnsi"/>
          <w:b/>
          <w:sz w:val="18"/>
          <w:szCs w:val="18"/>
          <w:highlight w:val="yellow"/>
        </w:rPr>
      </w:pPr>
    </w:p>
    <w:p w14:paraId="2EDA8506" w14:textId="7D51FDAD" w:rsidR="008354DF" w:rsidRPr="00CA6B15" w:rsidRDefault="008354DF" w:rsidP="008354DF">
      <w:pPr>
        <w:spacing w:after="0"/>
        <w:rPr>
          <w:rFonts w:cs="Arial"/>
          <w:sz w:val="18"/>
          <w:szCs w:val="18"/>
          <w:lang w:eastAsia="en-GB"/>
        </w:rPr>
      </w:pPr>
    </w:p>
    <w:p w14:paraId="102E13B8" w14:textId="77777777" w:rsidR="008354DF" w:rsidRPr="00CA6B15" w:rsidRDefault="008354DF" w:rsidP="008354DF">
      <w:pPr>
        <w:spacing w:after="0"/>
        <w:rPr>
          <w:rFonts w:cs="Arial"/>
          <w:sz w:val="18"/>
          <w:szCs w:val="18"/>
          <w:lang w:eastAsia="en-GB"/>
        </w:rPr>
      </w:pPr>
    </w:p>
    <w:p w14:paraId="52B739D5" w14:textId="77777777" w:rsidR="008354DF" w:rsidRPr="00CA6B15" w:rsidRDefault="008354DF" w:rsidP="008354DF">
      <w:pPr>
        <w:spacing w:before="0" w:after="0"/>
        <w:rPr>
          <w:rFonts w:cs="Arial"/>
          <w:b/>
          <w:bCs/>
          <w:sz w:val="18"/>
          <w:szCs w:val="18"/>
          <w:lang w:eastAsia="en-GB"/>
        </w:rPr>
      </w:pPr>
      <w:r w:rsidRPr="00CA6B15">
        <w:rPr>
          <w:rFonts w:cs="Arial"/>
          <w:b/>
          <w:bCs/>
          <w:sz w:val="18"/>
          <w:szCs w:val="18"/>
          <w:lang w:eastAsia="en-GB"/>
        </w:rPr>
        <w:t>Roy Pitchford</w:t>
      </w:r>
    </w:p>
    <w:p w14:paraId="0DBDEF0A" w14:textId="77777777" w:rsidR="006B15F1" w:rsidRDefault="008354DF" w:rsidP="006B15F1">
      <w:pPr>
        <w:spacing w:before="0" w:after="0"/>
        <w:rPr>
          <w:rFonts w:ascii="Times New Roman" w:hAnsi="Times New Roman"/>
          <w:sz w:val="24"/>
          <w:szCs w:val="24"/>
        </w:rPr>
      </w:pPr>
      <w:r w:rsidRPr="00CA6B15">
        <w:rPr>
          <w:rFonts w:cs="Arial"/>
          <w:i/>
          <w:iCs/>
          <w:sz w:val="18"/>
          <w:szCs w:val="18"/>
          <w:lang w:eastAsia="en-GB"/>
        </w:rPr>
        <w:t>Director</w:t>
      </w:r>
    </w:p>
    <w:p w14:paraId="5E39BFFF" w14:textId="61C2EAFE" w:rsidR="008354DF" w:rsidRPr="006B15F1" w:rsidRDefault="008354DF" w:rsidP="006B15F1">
      <w:pPr>
        <w:spacing w:before="0" w:after="0"/>
        <w:rPr>
          <w:rFonts w:ascii="Times New Roman" w:hAnsi="Times New Roman"/>
          <w:sz w:val="24"/>
          <w:szCs w:val="24"/>
        </w:rPr>
        <w:sectPr w:rsidR="008354DF" w:rsidRPr="006B15F1" w:rsidSect="008354DF">
          <w:headerReference w:type="default" r:id="rId20"/>
          <w:footerReference w:type="default" r:id="rId21"/>
          <w:headerReference w:type="first" r:id="rId22"/>
          <w:type w:val="continuous"/>
          <w:pgSz w:w="11906" w:h="16838"/>
          <w:pgMar w:top="1459" w:right="1440" w:bottom="1440" w:left="1440" w:header="571" w:footer="708" w:gutter="0"/>
          <w:cols w:space="708"/>
          <w:titlePg/>
          <w:docGrid w:linePitch="360"/>
        </w:sectPr>
      </w:pPr>
      <w:r>
        <w:rPr>
          <w:rFonts w:cs="Arial"/>
          <w:sz w:val="18"/>
          <w:szCs w:val="18"/>
          <w:lang w:eastAsia="en-GB"/>
        </w:rPr>
        <w:t>26</w:t>
      </w:r>
      <w:r w:rsidRPr="00CA6B15">
        <w:rPr>
          <w:rFonts w:cs="Arial"/>
          <w:sz w:val="18"/>
          <w:szCs w:val="18"/>
          <w:lang w:eastAsia="en-GB"/>
        </w:rPr>
        <w:t xml:space="preserve"> May 20</w:t>
      </w:r>
      <w:r w:rsidR="003A763C">
        <w:rPr>
          <w:rFonts w:cs="Arial"/>
          <w:sz w:val="18"/>
          <w:szCs w:val="18"/>
          <w:lang w:eastAsia="en-GB"/>
        </w:rPr>
        <w:t>23</w:t>
      </w:r>
    </w:p>
    <w:p w14:paraId="29480350" w14:textId="36DE2DD9" w:rsidR="00BF6237" w:rsidRPr="006B15F1" w:rsidRDefault="00BF6237" w:rsidP="00BF6237">
      <w:pPr>
        <w:pStyle w:val="CroweBodyCopy"/>
        <w:spacing w:afterLines="120" w:after="288"/>
        <w:rPr>
          <w:rFonts w:cstheme="minorHAnsi"/>
          <w:b/>
          <w:sz w:val="18"/>
          <w:szCs w:val="18"/>
        </w:rPr>
      </w:pPr>
      <w:r w:rsidRPr="006B15F1">
        <w:rPr>
          <w:rFonts w:cstheme="minorHAnsi"/>
          <w:b/>
          <w:sz w:val="18"/>
          <w:szCs w:val="18"/>
        </w:rPr>
        <w:lastRenderedPageBreak/>
        <w:t>Independent auditor’s report to the members of Mining, Minerals &amp; Metals Plc</w:t>
      </w:r>
    </w:p>
    <w:p w14:paraId="59866196" w14:textId="77777777" w:rsidR="009B5E9D" w:rsidRPr="00332D3B" w:rsidRDefault="009B5E9D" w:rsidP="009B5E9D">
      <w:pPr>
        <w:pStyle w:val="CroweBodyCopy"/>
        <w:keepNext/>
        <w:spacing w:before="240"/>
        <w:rPr>
          <w:rFonts w:cstheme="minorHAnsi"/>
          <w:b/>
          <w:sz w:val="18"/>
          <w:szCs w:val="18"/>
        </w:rPr>
      </w:pPr>
      <w:r w:rsidRPr="00332D3B">
        <w:rPr>
          <w:rFonts w:cstheme="minorHAnsi"/>
          <w:b/>
          <w:sz w:val="18"/>
          <w:szCs w:val="18"/>
        </w:rPr>
        <w:t xml:space="preserve">Opinion </w:t>
      </w:r>
    </w:p>
    <w:p w14:paraId="135A8EA3" w14:textId="77777777" w:rsidR="009B5E9D" w:rsidRPr="00332D3B" w:rsidRDefault="009B5E9D" w:rsidP="009B5E9D">
      <w:pPr>
        <w:pStyle w:val="CroweBodyCopy"/>
        <w:rPr>
          <w:rFonts w:cstheme="minorHAnsi"/>
          <w:sz w:val="18"/>
          <w:szCs w:val="18"/>
        </w:rPr>
      </w:pPr>
      <w:r w:rsidRPr="00332D3B">
        <w:rPr>
          <w:rFonts w:cstheme="minorHAnsi"/>
          <w:sz w:val="18"/>
          <w:szCs w:val="18"/>
        </w:rPr>
        <w:t xml:space="preserve">We have audited the financial statements of Mining, Minerals &amp; Metals Plc (the “company”) for the year ended 31 January 2023 which comprise </w:t>
      </w:r>
      <w:r w:rsidRPr="00332D3B">
        <w:rPr>
          <w:rFonts w:eastAsia="Arial" w:cstheme="minorHAnsi"/>
          <w:sz w:val="18"/>
          <w:szCs w:val="18"/>
          <w:lang w:val="en-GB"/>
        </w:rPr>
        <w:t>statement of comprehensive income, statement of financial position, statement of changes in equity, statement of cash flows and notes to the financial statements</w:t>
      </w:r>
      <w:r w:rsidRPr="00332D3B">
        <w:rPr>
          <w:rFonts w:cstheme="minorHAnsi"/>
          <w:sz w:val="18"/>
          <w:szCs w:val="18"/>
        </w:rPr>
        <w:t xml:space="preserve">, including significant accounting policies. The financial reporting framework that has been applied in the preparation of the company financial statements is applicable law and UK-adopted international accounting standards. </w:t>
      </w:r>
    </w:p>
    <w:p w14:paraId="141EC036" w14:textId="77777777" w:rsidR="009B5E9D" w:rsidRPr="00332D3B" w:rsidRDefault="009B5E9D" w:rsidP="009B5E9D">
      <w:pPr>
        <w:pStyle w:val="CroweBodyCopy"/>
        <w:rPr>
          <w:rFonts w:cstheme="minorHAnsi"/>
          <w:sz w:val="18"/>
          <w:szCs w:val="18"/>
        </w:rPr>
      </w:pPr>
      <w:r w:rsidRPr="00332D3B">
        <w:rPr>
          <w:rFonts w:cstheme="minorHAnsi"/>
          <w:sz w:val="18"/>
          <w:szCs w:val="18"/>
        </w:rPr>
        <w:t>In our opinion the financial statements:</w:t>
      </w:r>
    </w:p>
    <w:p w14:paraId="7AC0858C" w14:textId="77777777" w:rsidR="009B5E9D" w:rsidRPr="00332D3B" w:rsidRDefault="009B5E9D" w:rsidP="009B5E9D">
      <w:pPr>
        <w:pStyle w:val="Crowebullets"/>
        <w:numPr>
          <w:ilvl w:val="0"/>
          <w:numId w:val="12"/>
        </w:numPr>
        <w:spacing w:before="0"/>
        <w:jc w:val="left"/>
        <w:rPr>
          <w:rFonts w:cstheme="minorHAnsi"/>
          <w:color w:val="auto"/>
          <w:sz w:val="18"/>
          <w:szCs w:val="18"/>
          <w:lang w:eastAsia="en-GB"/>
        </w:rPr>
      </w:pPr>
      <w:r w:rsidRPr="00332D3B">
        <w:rPr>
          <w:rFonts w:cstheme="minorHAnsi"/>
          <w:color w:val="auto"/>
          <w:sz w:val="18"/>
          <w:szCs w:val="18"/>
          <w:lang w:eastAsia="en-GB"/>
        </w:rPr>
        <w:t xml:space="preserve">give a true and fair view of the state of the company’s affairs as </w:t>
      </w:r>
      <w:proofErr w:type="gramStart"/>
      <w:r w:rsidRPr="00332D3B">
        <w:rPr>
          <w:rFonts w:cstheme="minorHAnsi"/>
          <w:color w:val="auto"/>
          <w:sz w:val="18"/>
          <w:szCs w:val="18"/>
          <w:lang w:eastAsia="en-GB"/>
        </w:rPr>
        <w:t>at</w:t>
      </w:r>
      <w:proofErr w:type="gramEnd"/>
      <w:r w:rsidRPr="00332D3B">
        <w:rPr>
          <w:rFonts w:cstheme="minorHAnsi"/>
          <w:color w:val="auto"/>
          <w:sz w:val="18"/>
          <w:szCs w:val="18"/>
          <w:lang w:eastAsia="en-GB"/>
        </w:rPr>
        <w:t xml:space="preserve"> 31 January 2023 and of the its loss for the year then ended;</w:t>
      </w:r>
    </w:p>
    <w:p w14:paraId="46D032F6" w14:textId="77777777" w:rsidR="009B5E9D" w:rsidRPr="00332D3B" w:rsidRDefault="009B5E9D" w:rsidP="009B5E9D">
      <w:pPr>
        <w:pStyle w:val="Crowebullets"/>
        <w:numPr>
          <w:ilvl w:val="0"/>
          <w:numId w:val="12"/>
        </w:numPr>
        <w:spacing w:before="0"/>
        <w:jc w:val="left"/>
        <w:rPr>
          <w:rFonts w:cstheme="minorHAnsi"/>
          <w:color w:val="auto"/>
          <w:sz w:val="18"/>
          <w:szCs w:val="18"/>
          <w:lang w:eastAsia="en-GB"/>
        </w:rPr>
      </w:pPr>
      <w:r w:rsidRPr="00332D3B">
        <w:rPr>
          <w:rFonts w:cstheme="minorHAnsi"/>
          <w:color w:val="auto"/>
          <w:sz w:val="18"/>
          <w:szCs w:val="18"/>
          <w:lang w:eastAsia="en-GB"/>
        </w:rPr>
        <w:t xml:space="preserve">have been properly prepared in accordance with UK-adopted international accounting </w:t>
      </w:r>
      <w:proofErr w:type="gramStart"/>
      <w:r w:rsidRPr="00332D3B">
        <w:rPr>
          <w:rFonts w:cstheme="minorHAnsi"/>
          <w:color w:val="auto"/>
          <w:sz w:val="18"/>
          <w:szCs w:val="18"/>
          <w:lang w:eastAsia="en-GB"/>
        </w:rPr>
        <w:t>standards;</w:t>
      </w:r>
      <w:proofErr w:type="gramEnd"/>
    </w:p>
    <w:p w14:paraId="3C3FDECF" w14:textId="77777777" w:rsidR="009B5E9D" w:rsidRPr="00332D3B" w:rsidRDefault="009B5E9D" w:rsidP="009B5E9D">
      <w:pPr>
        <w:pStyle w:val="Crowebullets"/>
        <w:numPr>
          <w:ilvl w:val="0"/>
          <w:numId w:val="12"/>
        </w:numPr>
        <w:spacing w:before="0"/>
        <w:jc w:val="left"/>
        <w:rPr>
          <w:rFonts w:eastAsia="Arial" w:cstheme="minorHAnsi"/>
          <w:color w:val="auto"/>
          <w:sz w:val="18"/>
          <w:szCs w:val="18"/>
          <w:lang w:val="en-GB"/>
        </w:rPr>
      </w:pPr>
      <w:r w:rsidRPr="00332D3B">
        <w:rPr>
          <w:rFonts w:cstheme="minorHAnsi"/>
          <w:color w:val="auto"/>
          <w:sz w:val="18"/>
          <w:szCs w:val="18"/>
          <w:lang w:eastAsia="en-GB"/>
        </w:rPr>
        <w:t>have been prepared in accordance with the requirements of the Companies Act 2006.</w:t>
      </w:r>
    </w:p>
    <w:p w14:paraId="79538410" w14:textId="77777777" w:rsidR="009B5E9D" w:rsidRPr="00332D3B" w:rsidRDefault="009B5E9D" w:rsidP="009B5E9D">
      <w:pPr>
        <w:pStyle w:val="CroweBodyCopy"/>
        <w:keepNext/>
        <w:spacing w:before="240"/>
        <w:rPr>
          <w:rFonts w:cstheme="minorHAnsi"/>
          <w:b/>
          <w:sz w:val="18"/>
          <w:szCs w:val="18"/>
        </w:rPr>
      </w:pPr>
      <w:r w:rsidRPr="00332D3B">
        <w:rPr>
          <w:rFonts w:cstheme="minorHAnsi"/>
          <w:b/>
          <w:sz w:val="18"/>
          <w:szCs w:val="18"/>
        </w:rPr>
        <w:t xml:space="preserve">Basis for opinion </w:t>
      </w:r>
    </w:p>
    <w:p w14:paraId="13FE43FD" w14:textId="77777777" w:rsidR="009B5E9D" w:rsidRPr="00332D3B" w:rsidRDefault="009B5E9D" w:rsidP="009B5E9D">
      <w:pPr>
        <w:pStyle w:val="CroweBodyCopy"/>
        <w:rPr>
          <w:rFonts w:cstheme="minorHAnsi"/>
          <w:sz w:val="18"/>
          <w:szCs w:val="18"/>
        </w:rPr>
      </w:pPr>
      <w:r w:rsidRPr="00332D3B">
        <w:rPr>
          <w:rFonts w:cstheme="minorHAnsi"/>
          <w:sz w:val="18"/>
          <w:szCs w:val="18"/>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as applied to listed public interest entities, and we have fulfilled our other ethical responsibilities in accordance with these requirements. We believe that the audit evidence we have obtained is sufficient and appropriate to provide a basis for our opinion.</w:t>
      </w:r>
    </w:p>
    <w:p w14:paraId="1C830339" w14:textId="77777777" w:rsidR="009B5E9D" w:rsidRPr="00332D3B" w:rsidRDefault="009B5E9D" w:rsidP="009B5E9D">
      <w:pPr>
        <w:rPr>
          <w:rFonts w:eastAsia="Arial" w:cstheme="minorHAnsi"/>
          <w:b/>
          <w:sz w:val="18"/>
          <w:szCs w:val="18"/>
        </w:rPr>
      </w:pPr>
      <w:r w:rsidRPr="00332D3B">
        <w:rPr>
          <w:rFonts w:eastAsia="Arial" w:cstheme="minorHAnsi"/>
          <w:b/>
          <w:sz w:val="18"/>
          <w:szCs w:val="18"/>
        </w:rPr>
        <w:t xml:space="preserve">Material uncertainty relating to going concern </w:t>
      </w:r>
    </w:p>
    <w:p w14:paraId="691F7207" w14:textId="7EB0DB2C" w:rsidR="009B5E9D" w:rsidRPr="00332D3B" w:rsidRDefault="009B5E9D" w:rsidP="009B5E9D">
      <w:pPr>
        <w:rPr>
          <w:rFonts w:eastAsia="Arial" w:cstheme="minorHAnsi"/>
          <w:sz w:val="18"/>
          <w:szCs w:val="18"/>
        </w:rPr>
      </w:pPr>
      <w:r w:rsidRPr="00332D3B">
        <w:rPr>
          <w:rFonts w:eastAsia="Arial" w:cstheme="minorHAnsi"/>
          <w:sz w:val="18"/>
          <w:szCs w:val="18"/>
        </w:rPr>
        <w:t xml:space="preserve">We draw attention to the section headed Going </w:t>
      </w:r>
      <w:r w:rsidRPr="006B15F1">
        <w:rPr>
          <w:rFonts w:eastAsia="Arial" w:cstheme="minorHAnsi"/>
          <w:sz w:val="18"/>
          <w:szCs w:val="18"/>
        </w:rPr>
        <w:t>Concern on page 5 of the financial statements, which details the factors the Company has considered when assessing the going concern position. As detailed in the relevant note on page 18, the uncertainty</w:t>
      </w:r>
      <w:r w:rsidRPr="00332D3B">
        <w:rPr>
          <w:rFonts w:eastAsia="Arial" w:cstheme="minorHAnsi"/>
          <w:sz w:val="18"/>
          <w:szCs w:val="18"/>
        </w:rPr>
        <w:t xml:space="preserve"> surrounding the availability of funds to finance the operating cashflows and expenditure requirements for the company indicates the existence of a material uncertainty that may cast significant doubt on the Company’s ability to continue as a going concern. Our opinion is not modified in respect of this matter.  </w:t>
      </w:r>
    </w:p>
    <w:p w14:paraId="76666BF4" w14:textId="77777777" w:rsidR="009B5E9D" w:rsidRPr="00332D3B" w:rsidRDefault="009B5E9D" w:rsidP="009B5E9D">
      <w:pPr>
        <w:rPr>
          <w:rFonts w:eastAsia="Arial" w:cstheme="minorHAnsi"/>
          <w:sz w:val="18"/>
          <w:szCs w:val="18"/>
        </w:rPr>
      </w:pPr>
      <w:r w:rsidRPr="00332D3B">
        <w:rPr>
          <w:rFonts w:eastAsia="Arial" w:cstheme="minorHAnsi"/>
          <w:sz w:val="18"/>
          <w:szCs w:val="18"/>
        </w:rPr>
        <w:t>In auditing the financial statements, we have concluded that the directors’ use of the going concern basis of accounting in the preparation of the financial statements is appropriate. Our evaluation of the directors’ assessment of the company’s ability to continue to adopt the going concern basis of accounting included:</w:t>
      </w:r>
    </w:p>
    <w:p w14:paraId="524861AE"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 xml:space="preserve">Discussions with management in relation to the </w:t>
      </w:r>
      <w:proofErr w:type="gramStart"/>
      <w:r w:rsidRPr="00332D3B">
        <w:rPr>
          <w:rFonts w:cstheme="minorHAnsi"/>
          <w:sz w:val="18"/>
          <w:szCs w:val="18"/>
        </w:rPr>
        <w:t>future plans</w:t>
      </w:r>
      <w:proofErr w:type="gramEnd"/>
      <w:r w:rsidRPr="00332D3B">
        <w:rPr>
          <w:rFonts w:cstheme="minorHAnsi"/>
          <w:sz w:val="18"/>
          <w:szCs w:val="18"/>
        </w:rPr>
        <w:t xml:space="preserve"> of the Company.</w:t>
      </w:r>
    </w:p>
    <w:p w14:paraId="3DD83BBC"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 xml:space="preserve">Reviewing the directors’ going concern assessment including the worst-case scenario cash flow forecast that covers at least 12 months from the approval of the financial statements. </w:t>
      </w:r>
    </w:p>
    <w:p w14:paraId="2B7867E0"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 xml:space="preserve">Understanding what forecast expenditure is committed and what could be considered discretionary.  </w:t>
      </w:r>
    </w:p>
    <w:p w14:paraId="4535C847"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Considering the liquidity of existing assets of the statement of financial position.</w:t>
      </w:r>
    </w:p>
    <w:p w14:paraId="3B5125B5"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Considering the options available to management for further fundraising, or additional sources of finance.</w:t>
      </w:r>
    </w:p>
    <w:p w14:paraId="33206965"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Considering potential downside scenarios and the resultant impact on available funds.</w:t>
      </w:r>
    </w:p>
    <w:p w14:paraId="7D781CF5" w14:textId="77777777" w:rsidR="009B5E9D" w:rsidRPr="00332D3B" w:rsidRDefault="009B5E9D" w:rsidP="009B5E9D">
      <w:pPr>
        <w:widowControl/>
        <w:numPr>
          <w:ilvl w:val="0"/>
          <w:numId w:val="25"/>
        </w:numPr>
        <w:spacing w:before="100" w:beforeAutospacing="1" w:after="100" w:afterAutospacing="1"/>
        <w:rPr>
          <w:rFonts w:cstheme="minorHAnsi"/>
          <w:sz w:val="18"/>
          <w:szCs w:val="18"/>
        </w:rPr>
      </w:pPr>
      <w:r w:rsidRPr="00332D3B">
        <w:rPr>
          <w:rFonts w:cstheme="minorHAnsi"/>
          <w:sz w:val="18"/>
          <w:szCs w:val="18"/>
        </w:rPr>
        <w:t xml:space="preserve">Making enquiries of management as to its knowledge of events or conditions beyond the period of their assessment that may cast significant doubt on the Company’s ability to continue as a going </w:t>
      </w:r>
      <w:proofErr w:type="gramStart"/>
      <w:r w:rsidRPr="00332D3B">
        <w:rPr>
          <w:rFonts w:cstheme="minorHAnsi"/>
          <w:sz w:val="18"/>
          <w:szCs w:val="18"/>
        </w:rPr>
        <w:t>concern, and</w:t>
      </w:r>
      <w:proofErr w:type="gramEnd"/>
      <w:r w:rsidRPr="00332D3B">
        <w:rPr>
          <w:rFonts w:cstheme="minorHAnsi"/>
          <w:sz w:val="18"/>
          <w:szCs w:val="18"/>
        </w:rPr>
        <w:t xml:space="preserve"> evaluating the reliability of the data underpinning the forecast cash flows.</w:t>
      </w:r>
    </w:p>
    <w:p w14:paraId="03FBD7F9" w14:textId="77777777" w:rsidR="009B5E9D" w:rsidRPr="00332D3B" w:rsidRDefault="009B5E9D" w:rsidP="009B5E9D">
      <w:pPr>
        <w:rPr>
          <w:rFonts w:cstheme="minorHAnsi"/>
          <w:sz w:val="18"/>
          <w:szCs w:val="18"/>
        </w:rPr>
      </w:pPr>
      <w:r w:rsidRPr="00332D3B">
        <w:rPr>
          <w:rFonts w:cstheme="minorHAnsi"/>
          <w:sz w:val="18"/>
          <w:szCs w:val="18"/>
        </w:rPr>
        <w:t>Our responsibilities and the responsibilities of the directors with respect to going concern are described in the relevant sections of this report.</w:t>
      </w:r>
    </w:p>
    <w:p w14:paraId="6F990D66" w14:textId="77777777" w:rsidR="009B5E9D" w:rsidRPr="00332D3B" w:rsidRDefault="009B5E9D" w:rsidP="009B5E9D">
      <w:pPr>
        <w:pStyle w:val="CroweBodyCopy"/>
        <w:keepNext/>
        <w:spacing w:before="240"/>
        <w:rPr>
          <w:rFonts w:eastAsia="Arial" w:cstheme="minorHAnsi"/>
          <w:b/>
          <w:sz w:val="18"/>
          <w:szCs w:val="18"/>
          <w:lang w:val="en-GB"/>
        </w:rPr>
      </w:pPr>
      <w:r w:rsidRPr="00332D3B">
        <w:rPr>
          <w:rFonts w:cstheme="minorHAnsi"/>
          <w:b/>
          <w:sz w:val="18"/>
          <w:szCs w:val="18"/>
        </w:rPr>
        <w:t>Overview</w:t>
      </w:r>
      <w:r w:rsidRPr="00332D3B">
        <w:rPr>
          <w:rFonts w:eastAsia="Arial" w:cstheme="minorHAnsi"/>
          <w:b/>
          <w:sz w:val="18"/>
          <w:szCs w:val="18"/>
          <w:lang w:val="en-GB"/>
        </w:rPr>
        <w:t xml:space="preserve"> of our audit approach</w:t>
      </w:r>
    </w:p>
    <w:p w14:paraId="5DA3E6C2" w14:textId="77777777" w:rsidR="009B5E9D" w:rsidRPr="00332D3B" w:rsidRDefault="009B5E9D" w:rsidP="009B5E9D">
      <w:pPr>
        <w:pStyle w:val="CroweBodyCopy"/>
        <w:keepNext/>
        <w:widowControl/>
        <w:spacing w:before="240"/>
        <w:rPr>
          <w:rFonts w:cstheme="minorHAnsi"/>
          <w:i/>
          <w:sz w:val="18"/>
          <w:szCs w:val="18"/>
        </w:rPr>
      </w:pPr>
      <w:r w:rsidRPr="00332D3B">
        <w:rPr>
          <w:rFonts w:cstheme="minorHAnsi"/>
          <w:i/>
          <w:sz w:val="18"/>
          <w:szCs w:val="18"/>
        </w:rPr>
        <w:t>Materiality</w:t>
      </w:r>
    </w:p>
    <w:p w14:paraId="73D87F1C" w14:textId="77777777" w:rsidR="009B5E9D" w:rsidRPr="00332D3B" w:rsidRDefault="009B5E9D" w:rsidP="009B5E9D">
      <w:pPr>
        <w:pStyle w:val="CroweBodyCopy"/>
        <w:rPr>
          <w:rFonts w:cstheme="minorHAnsi"/>
          <w:sz w:val="18"/>
          <w:szCs w:val="18"/>
        </w:rPr>
      </w:pPr>
      <w:r w:rsidRPr="00332D3B">
        <w:rPr>
          <w:rFonts w:cstheme="minorHAnsi"/>
          <w:sz w:val="18"/>
          <w:szCs w:val="18"/>
        </w:rPr>
        <w:t>In planning and performing our audit we applied the concept of materiality. An item is considered material if it could reasonably be expected to change the economic decisions of a user of the financial statements. We used the concept of materiality to both focus our testing and to evaluate the impact of misstatements identified.</w:t>
      </w:r>
    </w:p>
    <w:p w14:paraId="53913ED2" w14:textId="77777777" w:rsidR="009B5E9D" w:rsidRPr="00332D3B" w:rsidRDefault="009B5E9D" w:rsidP="009B5E9D">
      <w:pPr>
        <w:pStyle w:val="CroweBodyCopy"/>
        <w:rPr>
          <w:rFonts w:cstheme="minorHAnsi"/>
          <w:sz w:val="18"/>
          <w:szCs w:val="18"/>
        </w:rPr>
      </w:pPr>
      <w:r w:rsidRPr="00332D3B">
        <w:rPr>
          <w:rFonts w:cstheme="minorHAnsi"/>
          <w:sz w:val="18"/>
          <w:szCs w:val="18"/>
        </w:rPr>
        <w:t xml:space="preserve">Based on our professional judgement, we determined overall materiality for the financial statements </w:t>
      </w:r>
      <w:proofErr w:type="gramStart"/>
      <w:r w:rsidRPr="00332D3B">
        <w:rPr>
          <w:rFonts w:cstheme="minorHAnsi"/>
          <w:sz w:val="18"/>
          <w:szCs w:val="18"/>
        </w:rPr>
        <w:t>as a whole to</w:t>
      </w:r>
      <w:proofErr w:type="gramEnd"/>
      <w:r w:rsidRPr="00332D3B">
        <w:rPr>
          <w:rFonts w:cstheme="minorHAnsi"/>
          <w:sz w:val="18"/>
          <w:szCs w:val="18"/>
        </w:rPr>
        <w:t xml:space="preserve"> be £7,000 (2022 £5,000), based on approximately 5% of loss before taxation. </w:t>
      </w:r>
    </w:p>
    <w:p w14:paraId="0623DCA1" w14:textId="77777777" w:rsidR="009B5E9D" w:rsidRPr="00332D3B" w:rsidRDefault="009B5E9D" w:rsidP="009B5E9D">
      <w:pPr>
        <w:rPr>
          <w:rFonts w:eastAsia="Arial" w:cstheme="minorHAnsi"/>
          <w:sz w:val="18"/>
          <w:szCs w:val="18"/>
        </w:rPr>
      </w:pPr>
      <w:r w:rsidRPr="00332D3B">
        <w:rPr>
          <w:rFonts w:cstheme="minorHAnsi"/>
          <w:sz w:val="18"/>
          <w:szCs w:val="18"/>
        </w:rPr>
        <w:t xml:space="preserve">We use a different level of materiality (‘performance materiality’) to determine the extent of our testing for the audit of the financial </w:t>
      </w:r>
      <w:r w:rsidRPr="00332D3B">
        <w:rPr>
          <w:rFonts w:cstheme="minorHAnsi"/>
          <w:sz w:val="18"/>
          <w:szCs w:val="18"/>
        </w:rPr>
        <w:lastRenderedPageBreak/>
        <w:t xml:space="preserve">statements.  Performance materiality is set based on the audit materiality as adjusted for the judgements made as to the entity risk and our evaluation of the specific risk of each audit area having regard to the internal control environment.  </w:t>
      </w:r>
      <w:r w:rsidRPr="00332D3B">
        <w:rPr>
          <w:rFonts w:eastAsia="Arial" w:cstheme="minorHAnsi"/>
          <w:sz w:val="18"/>
          <w:szCs w:val="18"/>
        </w:rPr>
        <w:t xml:space="preserve">Performance materiality was set at 70% of materiality for the financial </w:t>
      </w:r>
      <w:proofErr w:type="gramStart"/>
      <w:r w:rsidRPr="00332D3B">
        <w:rPr>
          <w:rFonts w:eastAsia="Arial" w:cstheme="minorHAnsi"/>
          <w:sz w:val="18"/>
          <w:szCs w:val="18"/>
        </w:rPr>
        <w:t>statements as a whole, which</w:t>
      </w:r>
      <w:proofErr w:type="gramEnd"/>
      <w:r w:rsidRPr="00332D3B">
        <w:rPr>
          <w:rFonts w:eastAsia="Arial" w:cstheme="minorHAnsi"/>
          <w:sz w:val="18"/>
          <w:szCs w:val="18"/>
        </w:rPr>
        <w:t xml:space="preserve"> equates £4,900 (2022: £3,500) for the company.</w:t>
      </w:r>
    </w:p>
    <w:p w14:paraId="28D3B3E7" w14:textId="77777777" w:rsidR="009B5E9D" w:rsidRPr="00332D3B" w:rsidRDefault="009B5E9D" w:rsidP="009B5E9D">
      <w:pPr>
        <w:pStyle w:val="CroweBodyCopy"/>
        <w:rPr>
          <w:rFonts w:cstheme="minorHAnsi"/>
          <w:sz w:val="18"/>
          <w:szCs w:val="18"/>
        </w:rPr>
      </w:pPr>
      <w:r w:rsidRPr="00332D3B">
        <w:rPr>
          <w:rFonts w:cstheme="minorHAnsi"/>
          <w:sz w:val="18"/>
          <w:szCs w:val="18"/>
        </w:rPr>
        <w:t>Where considered appropriate performance materiality may be reduced to a lower level, such as, for related party transactions and directors’ remuneration.</w:t>
      </w:r>
    </w:p>
    <w:p w14:paraId="5CA96D39" w14:textId="77777777" w:rsidR="009B5E9D" w:rsidRPr="00332D3B" w:rsidRDefault="009B5E9D" w:rsidP="009B5E9D">
      <w:pPr>
        <w:pStyle w:val="CroweBodyCopy"/>
        <w:rPr>
          <w:rFonts w:cstheme="minorHAnsi"/>
          <w:sz w:val="18"/>
          <w:szCs w:val="18"/>
        </w:rPr>
      </w:pPr>
      <w:r w:rsidRPr="00332D3B">
        <w:rPr>
          <w:rFonts w:cstheme="minorHAnsi"/>
          <w:sz w:val="18"/>
          <w:szCs w:val="18"/>
        </w:rPr>
        <w:t>We agreed with the board to report to it all identified errors in excess of £350 (2022: £150). Errors below that threshold would also be reported to it if, in our opinion as auditor, disclosure was required on qualitative grounds.</w:t>
      </w:r>
    </w:p>
    <w:p w14:paraId="6AD00869" w14:textId="77777777" w:rsidR="009B5E9D" w:rsidRPr="00332D3B" w:rsidRDefault="009B5E9D" w:rsidP="009B5E9D">
      <w:pPr>
        <w:pStyle w:val="CroweBodyCopy"/>
        <w:keepNext/>
        <w:widowControl/>
        <w:spacing w:before="240"/>
        <w:rPr>
          <w:rFonts w:eastAsia="Arial" w:cstheme="minorHAnsi"/>
          <w:sz w:val="18"/>
          <w:szCs w:val="18"/>
          <w:lang w:val="en-GB"/>
        </w:rPr>
      </w:pPr>
      <w:r w:rsidRPr="00332D3B">
        <w:rPr>
          <w:rFonts w:eastAsia="Arial" w:cstheme="minorHAnsi"/>
          <w:i/>
          <w:sz w:val="18"/>
          <w:szCs w:val="18"/>
          <w:lang w:val="en-GB"/>
        </w:rPr>
        <w:t>Overview of</w:t>
      </w:r>
      <w:r w:rsidRPr="00332D3B">
        <w:rPr>
          <w:rFonts w:cstheme="minorHAnsi"/>
          <w:i/>
          <w:sz w:val="18"/>
          <w:szCs w:val="18"/>
        </w:rPr>
        <w:t xml:space="preserve"> </w:t>
      </w:r>
      <w:r w:rsidRPr="00332D3B">
        <w:rPr>
          <w:rFonts w:eastAsia="Arial" w:cstheme="minorHAnsi"/>
          <w:i/>
          <w:sz w:val="18"/>
          <w:szCs w:val="18"/>
          <w:lang w:val="en-GB"/>
        </w:rPr>
        <w:t xml:space="preserve">the </w:t>
      </w:r>
      <w:r w:rsidRPr="00332D3B">
        <w:rPr>
          <w:rFonts w:cstheme="minorHAnsi"/>
          <w:i/>
          <w:sz w:val="18"/>
          <w:szCs w:val="18"/>
        </w:rPr>
        <w:t>scope</w:t>
      </w:r>
      <w:r w:rsidRPr="00332D3B">
        <w:rPr>
          <w:rFonts w:eastAsia="Arial" w:cstheme="minorHAnsi"/>
          <w:i/>
          <w:sz w:val="18"/>
          <w:szCs w:val="18"/>
          <w:lang w:val="en-GB"/>
        </w:rPr>
        <w:t xml:space="preserve"> of our audit</w:t>
      </w:r>
    </w:p>
    <w:p w14:paraId="49DF82C7" w14:textId="77777777" w:rsidR="009B5E9D" w:rsidRPr="00332D3B" w:rsidRDefault="009B5E9D" w:rsidP="009B5E9D">
      <w:pPr>
        <w:spacing w:after="0"/>
        <w:rPr>
          <w:rFonts w:cstheme="minorHAnsi"/>
          <w:bCs/>
          <w:sz w:val="18"/>
          <w:szCs w:val="18"/>
          <w:lang w:eastAsia="en-GB"/>
        </w:rPr>
      </w:pPr>
      <w:r w:rsidRPr="00332D3B">
        <w:rPr>
          <w:rFonts w:cstheme="minorHAnsi"/>
          <w:bCs/>
          <w:sz w:val="18"/>
          <w:szCs w:val="18"/>
          <w:lang w:eastAsia="en-GB"/>
        </w:rPr>
        <w:t>Our audit was scoped by obtaining an understanding of the company and its environment, including the company’s system of internal control, and assessing the risks of material misstatement in the financial statements. We also addressed the risk of management override of internal controls, including assessing whether there was evidence of bias by the directors that may have represented a risk of material misstatement.</w:t>
      </w:r>
    </w:p>
    <w:p w14:paraId="4605D3F3" w14:textId="77777777" w:rsidR="006B15F1" w:rsidRDefault="006B15F1" w:rsidP="009B5E9D">
      <w:pPr>
        <w:spacing w:after="0"/>
        <w:rPr>
          <w:rFonts w:cstheme="minorHAnsi"/>
          <w:bCs/>
          <w:sz w:val="18"/>
          <w:szCs w:val="18"/>
          <w:lang w:eastAsia="en-GB"/>
        </w:rPr>
      </w:pPr>
    </w:p>
    <w:p w14:paraId="1F4238AF" w14:textId="68A0D95B" w:rsidR="009B5E9D" w:rsidRDefault="009B5E9D" w:rsidP="006B15F1">
      <w:pPr>
        <w:spacing w:after="0"/>
        <w:rPr>
          <w:rFonts w:cstheme="minorHAnsi"/>
          <w:bCs/>
          <w:sz w:val="18"/>
          <w:szCs w:val="18"/>
          <w:lang w:eastAsia="en-GB"/>
        </w:rPr>
      </w:pPr>
      <w:r w:rsidRPr="00332D3B">
        <w:rPr>
          <w:rFonts w:cstheme="minorHAnsi"/>
          <w:bCs/>
          <w:sz w:val="18"/>
          <w:szCs w:val="18"/>
          <w:lang w:eastAsia="en-GB"/>
        </w:rPr>
        <w:t xml:space="preserve">The company is accounted for from one central location, the United Kingdom </w:t>
      </w:r>
    </w:p>
    <w:p w14:paraId="33F44558" w14:textId="77777777" w:rsidR="006B15F1" w:rsidRPr="006B15F1" w:rsidRDefault="006B15F1" w:rsidP="006B15F1">
      <w:pPr>
        <w:spacing w:after="0"/>
        <w:rPr>
          <w:rFonts w:cstheme="minorHAnsi"/>
          <w:bCs/>
          <w:sz w:val="18"/>
          <w:szCs w:val="18"/>
          <w:lang w:eastAsia="en-GB"/>
        </w:rPr>
      </w:pPr>
    </w:p>
    <w:p w14:paraId="4A8562A5" w14:textId="77777777" w:rsidR="009B5E9D" w:rsidRPr="00332D3B" w:rsidRDefault="009B5E9D" w:rsidP="009B5E9D">
      <w:pPr>
        <w:rPr>
          <w:rFonts w:eastAsia="Arial" w:cstheme="minorHAnsi"/>
          <w:i/>
          <w:color w:val="FF0000"/>
          <w:sz w:val="18"/>
          <w:szCs w:val="18"/>
        </w:rPr>
      </w:pPr>
      <w:r w:rsidRPr="00332D3B">
        <w:rPr>
          <w:rFonts w:eastAsia="Arial" w:cstheme="minorHAnsi"/>
          <w:i/>
          <w:sz w:val="18"/>
          <w:szCs w:val="18"/>
        </w:rPr>
        <w:t>Key Audit Matters</w:t>
      </w:r>
    </w:p>
    <w:p w14:paraId="7A26424F" w14:textId="77777777" w:rsidR="009B5E9D" w:rsidRPr="00332D3B" w:rsidRDefault="009B5E9D" w:rsidP="009B5E9D">
      <w:pPr>
        <w:spacing w:after="0"/>
        <w:rPr>
          <w:rFonts w:eastAsia="Arial" w:cstheme="minorHAnsi"/>
          <w:sz w:val="18"/>
          <w:szCs w:val="18"/>
        </w:rPr>
      </w:pPr>
      <w:r w:rsidRPr="00332D3B">
        <w:rPr>
          <w:rFonts w:eastAsia="Arial" w:cstheme="minorHAnsi"/>
          <w:sz w:val="18"/>
          <w:szCs w:val="18"/>
        </w:rPr>
        <w:t xml:space="preserve">Key audit matters are those matters that, in our professional judgment, were of most significance in our audit of the financial statements of the current period and include the most significant assessed risks of material misstatement (whether or not due to fraud) we identified, including those which had the greatest effect on the overall audit strategy, the allocation of resources in the audit; and directing the efforts of the engagement team. </w:t>
      </w:r>
    </w:p>
    <w:p w14:paraId="28CABFE5" w14:textId="77777777" w:rsidR="009B5E9D" w:rsidRPr="00332D3B" w:rsidRDefault="009B5E9D" w:rsidP="009B5E9D">
      <w:pPr>
        <w:spacing w:after="0"/>
        <w:rPr>
          <w:rFonts w:eastAsia="Arial" w:cstheme="minorHAnsi"/>
          <w:sz w:val="18"/>
          <w:szCs w:val="18"/>
        </w:rPr>
      </w:pPr>
    </w:p>
    <w:p w14:paraId="05307CF3" w14:textId="77777777" w:rsidR="009B5E9D" w:rsidRPr="00332D3B" w:rsidRDefault="009B5E9D" w:rsidP="009B5E9D">
      <w:pPr>
        <w:rPr>
          <w:rFonts w:cstheme="minorHAnsi"/>
          <w:bCs/>
          <w:sz w:val="18"/>
          <w:szCs w:val="18"/>
          <w:lang w:eastAsia="en-GB"/>
        </w:rPr>
      </w:pPr>
      <w:r w:rsidRPr="00332D3B">
        <w:rPr>
          <w:rFonts w:cstheme="minorHAnsi"/>
          <w:sz w:val="18"/>
          <w:szCs w:val="18"/>
        </w:rPr>
        <w:t>We have determined that the only key audit matter was in respect of going concern and our work in that area is included in the section above headed ‘Material uncertainty related to going concern’</w:t>
      </w:r>
      <w:r w:rsidRPr="00332D3B">
        <w:rPr>
          <w:rFonts w:cstheme="minorHAnsi"/>
          <w:bCs/>
          <w:sz w:val="18"/>
          <w:szCs w:val="18"/>
          <w:lang w:eastAsia="en-GB"/>
        </w:rPr>
        <w:t xml:space="preserve">. </w:t>
      </w:r>
    </w:p>
    <w:p w14:paraId="30363811" w14:textId="77777777" w:rsidR="009B5E9D" w:rsidRPr="00332D3B" w:rsidRDefault="009B5E9D" w:rsidP="009B5E9D">
      <w:pPr>
        <w:rPr>
          <w:rFonts w:cstheme="minorHAnsi"/>
          <w:bCs/>
          <w:sz w:val="18"/>
          <w:szCs w:val="18"/>
          <w:lang w:eastAsia="en-GB"/>
        </w:rPr>
      </w:pPr>
      <w:r w:rsidRPr="00332D3B">
        <w:rPr>
          <w:rFonts w:cstheme="minorHAnsi"/>
          <w:bCs/>
          <w:sz w:val="18"/>
          <w:szCs w:val="18"/>
          <w:lang w:eastAsia="en-GB"/>
        </w:rPr>
        <w:t xml:space="preserve">Our audit procedures in relation to Going Concern were designed in the context of our audit </w:t>
      </w:r>
      <w:proofErr w:type="gramStart"/>
      <w:r w:rsidRPr="00332D3B">
        <w:rPr>
          <w:rFonts w:cstheme="minorHAnsi"/>
          <w:bCs/>
          <w:sz w:val="18"/>
          <w:szCs w:val="18"/>
          <w:lang w:eastAsia="en-GB"/>
        </w:rPr>
        <w:t>opinion as a whole</w:t>
      </w:r>
      <w:proofErr w:type="gramEnd"/>
      <w:r w:rsidRPr="00332D3B">
        <w:rPr>
          <w:rFonts w:cstheme="minorHAnsi"/>
          <w:bCs/>
          <w:sz w:val="18"/>
          <w:szCs w:val="18"/>
          <w:lang w:eastAsia="en-GB"/>
        </w:rPr>
        <w:t>. They were not designed to enable us to express an opinion on this matter individually and we express no such opinion.</w:t>
      </w:r>
    </w:p>
    <w:p w14:paraId="2B11AA16" w14:textId="77777777" w:rsidR="009B5E9D" w:rsidRPr="00332D3B" w:rsidRDefault="009B5E9D" w:rsidP="009B5E9D">
      <w:pPr>
        <w:pStyle w:val="CroweBodyCopy"/>
        <w:keepNext/>
        <w:spacing w:before="240"/>
        <w:rPr>
          <w:rFonts w:eastAsia="Arial" w:cstheme="minorHAnsi"/>
          <w:b/>
          <w:sz w:val="18"/>
          <w:szCs w:val="18"/>
          <w:lang w:val="en-GB"/>
        </w:rPr>
      </w:pPr>
      <w:r w:rsidRPr="00332D3B">
        <w:rPr>
          <w:rFonts w:eastAsia="Arial" w:cstheme="minorHAnsi"/>
          <w:b/>
          <w:sz w:val="18"/>
          <w:szCs w:val="18"/>
          <w:lang w:val="en-GB"/>
        </w:rPr>
        <w:t xml:space="preserve">Other </w:t>
      </w:r>
      <w:r w:rsidRPr="00332D3B">
        <w:rPr>
          <w:rFonts w:cstheme="minorHAnsi"/>
          <w:b/>
          <w:bCs/>
          <w:sz w:val="18"/>
          <w:szCs w:val="18"/>
          <w:lang w:eastAsia="en-GB"/>
        </w:rPr>
        <w:t>information</w:t>
      </w:r>
    </w:p>
    <w:p w14:paraId="5FB6D386" w14:textId="77777777" w:rsidR="009B5E9D" w:rsidRPr="00332D3B" w:rsidRDefault="009B5E9D" w:rsidP="009B5E9D">
      <w:pPr>
        <w:pStyle w:val="CroweBodyCopy"/>
        <w:rPr>
          <w:rFonts w:cstheme="minorHAnsi"/>
          <w:sz w:val="18"/>
          <w:szCs w:val="18"/>
          <w:lang w:val="en-GB"/>
        </w:rPr>
      </w:pPr>
      <w:r w:rsidRPr="00332D3B">
        <w:rPr>
          <w:rFonts w:cstheme="minorHAnsi"/>
          <w:sz w:val="18"/>
          <w:szCs w:val="18"/>
          <w:lang w:val="en-GB"/>
        </w:rPr>
        <w:t xml:space="preserve">The other information comprises the information included in the annual report other than the financial statements and our auditor’s report thereon. The directors are responsible for the other information contained within the annual report. </w:t>
      </w:r>
    </w:p>
    <w:p w14:paraId="03DDAB1A" w14:textId="77777777" w:rsidR="009B5E9D" w:rsidRPr="00332D3B" w:rsidRDefault="009B5E9D" w:rsidP="009B5E9D">
      <w:pPr>
        <w:pStyle w:val="CroweBodyCopy"/>
        <w:rPr>
          <w:rFonts w:cstheme="minorHAnsi"/>
          <w:sz w:val="18"/>
          <w:szCs w:val="18"/>
          <w:lang w:val="en-GB"/>
        </w:rPr>
      </w:pPr>
      <w:r w:rsidRPr="00332D3B">
        <w:rPr>
          <w:rFonts w:cstheme="minorHAnsi"/>
          <w:sz w:val="18"/>
          <w:szCs w:val="18"/>
          <w:lang w:val="en-GB"/>
        </w:rPr>
        <w:t xml:space="preserve">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w:t>
      </w:r>
      <w:proofErr w:type="gramStart"/>
      <w:r w:rsidRPr="00332D3B">
        <w:rPr>
          <w:rFonts w:cstheme="minorHAnsi"/>
          <w:sz w:val="18"/>
          <w:szCs w:val="18"/>
          <w:lang w:val="en-GB"/>
        </w:rPr>
        <w:t>statements</w:t>
      </w:r>
      <w:proofErr w:type="gramEnd"/>
      <w:r w:rsidRPr="00332D3B">
        <w:rPr>
          <w:rFonts w:cstheme="minorHAnsi"/>
          <w:sz w:val="18"/>
          <w:szCs w:val="18"/>
          <w:lang w:val="en-GB"/>
        </w:rPr>
        <w:t xml:space="preserve">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69F9BBBD" w14:textId="77777777" w:rsidR="009B5E9D" w:rsidRPr="00332D3B" w:rsidRDefault="009B5E9D" w:rsidP="009B5E9D">
      <w:pPr>
        <w:pStyle w:val="CroweBodyCopy"/>
        <w:rPr>
          <w:rFonts w:cstheme="minorHAnsi"/>
          <w:sz w:val="18"/>
          <w:szCs w:val="18"/>
          <w:lang w:val="en-GB"/>
        </w:rPr>
      </w:pPr>
      <w:r w:rsidRPr="00332D3B">
        <w:rPr>
          <w:rFonts w:cstheme="minorHAnsi"/>
          <w:sz w:val="18"/>
          <w:szCs w:val="18"/>
          <w:lang w:val="en-GB"/>
        </w:rPr>
        <w:t>We have nothing to report in this regard.</w:t>
      </w:r>
    </w:p>
    <w:p w14:paraId="2CA443D0" w14:textId="77777777" w:rsidR="009B5E9D" w:rsidRPr="00332D3B" w:rsidRDefault="009B5E9D" w:rsidP="009B5E9D">
      <w:pPr>
        <w:autoSpaceDE w:val="0"/>
        <w:autoSpaceDN w:val="0"/>
        <w:adjustRightInd w:val="0"/>
        <w:rPr>
          <w:rFonts w:eastAsia="Arial" w:cstheme="minorHAnsi"/>
          <w:b/>
          <w:sz w:val="18"/>
          <w:szCs w:val="18"/>
          <w:highlight w:val="yellow"/>
        </w:rPr>
      </w:pPr>
    </w:p>
    <w:p w14:paraId="34CA4998" w14:textId="77777777" w:rsidR="009B5E9D" w:rsidRPr="00332D3B" w:rsidRDefault="009B5E9D" w:rsidP="009B5E9D">
      <w:pPr>
        <w:pStyle w:val="CroweBodyCopy"/>
        <w:keepNext/>
        <w:spacing w:before="240"/>
        <w:rPr>
          <w:rFonts w:eastAsia="Arial Unicode MS" w:cstheme="minorHAnsi"/>
          <w:b/>
          <w:bCs/>
          <w:sz w:val="18"/>
          <w:szCs w:val="18"/>
          <w:lang w:val="en-GB" w:eastAsia="en-GB"/>
        </w:rPr>
      </w:pPr>
      <w:r w:rsidRPr="00332D3B">
        <w:rPr>
          <w:rFonts w:cstheme="minorHAnsi"/>
          <w:b/>
          <w:bCs/>
          <w:sz w:val="18"/>
          <w:szCs w:val="18"/>
          <w:lang w:eastAsia="en-GB"/>
        </w:rPr>
        <w:t xml:space="preserve">Opinions on other </w:t>
      </w:r>
      <w:r w:rsidRPr="00332D3B">
        <w:rPr>
          <w:rFonts w:cstheme="minorHAnsi"/>
          <w:b/>
          <w:sz w:val="18"/>
          <w:szCs w:val="18"/>
        </w:rPr>
        <w:t>matters</w:t>
      </w:r>
      <w:r w:rsidRPr="00332D3B">
        <w:rPr>
          <w:rFonts w:cstheme="minorHAnsi"/>
          <w:b/>
          <w:bCs/>
          <w:sz w:val="18"/>
          <w:szCs w:val="18"/>
          <w:lang w:eastAsia="en-GB"/>
        </w:rPr>
        <w:t xml:space="preserve"> prescribed by the Companies Act 2006</w:t>
      </w:r>
    </w:p>
    <w:p w14:paraId="4F762D8D" w14:textId="77777777" w:rsidR="009B5E9D" w:rsidRPr="00332D3B" w:rsidRDefault="009B5E9D" w:rsidP="009B5E9D">
      <w:pPr>
        <w:pStyle w:val="CroweBodyCopy"/>
        <w:rPr>
          <w:rFonts w:cstheme="minorHAnsi"/>
          <w:sz w:val="18"/>
          <w:szCs w:val="18"/>
          <w:lang w:eastAsia="en-GB"/>
        </w:rPr>
      </w:pPr>
      <w:r w:rsidRPr="00332D3B">
        <w:rPr>
          <w:rFonts w:cstheme="minorHAnsi"/>
          <w:sz w:val="18"/>
          <w:szCs w:val="18"/>
          <w:lang w:eastAsia="en-GB"/>
        </w:rPr>
        <w:t>In our opinion the part of the directors’ remuneration report to be audited has been properly prepared in accordance with the Companies Act 2006.</w:t>
      </w:r>
    </w:p>
    <w:p w14:paraId="03BE5231" w14:textId="77777777" w:rsidR="009B5E9D" w:rsidRPr="00332D3B" w:rsidRDefault="009B5E9D" w:rsidP="009B5E9D">
      <w:pPr>
        <w:pStyle w:val="CroweBodyCopy"/>
        <w:rPr>
          <w:rFonts w:cstheme="minorHAnsi"/>
          <w:sz w:val="18"/>
          <w:szCs w:val="18"/>
          <w:lang w:eastAsia="en-GB"/>
        </w:rPr>
      </w:pPr>
      <w:r w:rsidRPr="00332D3B">
        <w:rPr>
          <w:rFonts w:cstheme="minorHAnsi"/>
          <w:sz w:val="18"/>
          <w:szCs w:val="18"/>
          <w:lang w:eastAsia="en-GB"/>
        </w:rPr>
        <w:t xml:space="preserve">In our opinion based on the work undertaken </w:t>
      </w:r>
      <w:proofErr w:type="gramStart"/>
      <w:r w:rsidRPr="00332D3B">
        <w:rPr>
          <w:rFonts w:cstheme="minorHAnsi"/>
          <w:sz w:val="18"/>
          <w:szCs w:val="18"/>
          <w:lang w:eastAsia="en-GB"/>
        </w:rPr>
        <w:t>in the course of</w:t>
      </w:r>
      <w:proofErr w:type="gramEnd"/>
      <w:r w:rsidRPr="00332D3B">
        <w:rPr>
          <w:rFonts w:cstheme="minorHAnsi"/>
          <w:sz w:val="18"/>
          <w:szCs w:val="18"/>
          <w:lang w:eastAsia="en-GB"/>
        </w:rPr>
        <w:t xml:space="preserve"> our audit: </w:t>
      </w:r>
    </w:p>
    <w:p w14:paraId="3763DEB8" w14:textId="77777777" w:rsidR="009B5E9D" w:rsidRPr="00332D3B" w:rsidRDefault="009B5E9D" w:rsidP="009B5E9D">
      <w:pPr>
        <w:pStyle w:val="Crowebullets"/>
        <w:numPr>
          <w:ilvl w:val="0"/>
          <w:numId w:val="12"/>
        </w:numPr>
        <w:spacing w:before="0"/>
        <w:jc w:val="left"/>
        <w:rPr>
          <w:rFonts w:cstheme="minorHAnsi"/>
          <w:sz w:val="18"/>
          <w:szCs w:val="18"/>
          <w:lang w:eastAsia="en-GB"/>
        </w:rPr>
      </w:pPr>
      <w:r w:rsidRPr="00332D3B">
        <w:rPr>
          <w:rFonts w:cstheme="minorHAnsi"/>
          <w:sz w:val="18"/>
          <w:szCs w:val="18"/>
          <w:lang w:eastAsia="en-GB"/>
        </w:rPr>
        <w:t>the information given in the strategic report and the directors' report for the financial year for which the financial statements are prepared is consistent with the financial statements; and</w:t>
      </w:r>
    </w:p>
    <w:p w14:paraId="0D64062C" w14:textId="77777777" w:rsidR="009B5E9D" w:rsidRPr="00332D3B" w:rsidRDefault="009B5E9D" w:rsidP="009B5E9D">
      <w:pPr>
        <w:pStyle w:val="Crowebullets"/>
        <w:numPr>
          <w:ilvl w:val="0"/>
          <w:numId w:val="12"/>
        </w:numPr>
        <w:spacing w:before="0"/>
        <w:jc w:val="left"/>
        <w:rPr>
          <w:rFonts w:cstheme="minorHAnsi"/>
          <w:sz w:val="18"/>
          <w:szCs w:val="18"/>
          <w:lang w:eastAsia="en-GB"/>
        </w:rPr>
      </w:pPr>
      <w:r w:rsidRPr="00332D3B">
        <w:rPr>
          <w:rFonts w:cstheme="minorHAnsi"/>
          <w:sz w:val="18"/>
          <w:szCs w:val="18"/>
          <w:lang w:eastAsia="en-GB"/>
        </w:rPr>
        <w:t>the strategic report and the directors’ report have been prepared in accordance with applicable legal requirements.</w:t>
      </w:r>
    </w:p>
    <w:p w14:paraId="514D8AD8" w14:textId="77777777" w:rsidR="009B5E9D" w:rsidRPr="00332D3B" w:rsidRDefault="009B5E9D" w:rsidP="009B5E9D">
      <w:pPr>
        <w:pStyle w:val="CroweBodyCopy"/>
        <w:keepNext/>
        <w:spacing w:before="240"/>
        <w:rPr>
          <w:rFonts w:eastAsia="Arial" w:cstheme="minorHAnsi"/>
          <w:b/>
          <w:sz w:val="18"/>
          <w:szCs w:val="18"/>
          <w:lang w:val="en-GB"/>
        </w:rPr>
      </w:pPr>
      <w:r w:rsidRPr="00332D3B">
        <w:rPr>
          <w:rFonts w:eastAsia="Arial" w:cstheme="minorHAnsi"/>
          <w:b/>
          <w:sz w:val="18"/>
          <w:szCs w:val="18"/>
          <w:lang w:val="en-GB"/>
        </w:rPr>
        <w:t>Matters on which we are required to report by exception</w:t>
      </w:r>
    </w:p>
    <w:p w14:paraId="26D4578A" w14:textId="77777777" w:rsidR="009B5E9D" w:rsidRPr="00332D3B" w:rsidRDefault="009B5E9D" w:rsidP="009B5E9D">
      <w:pPr>
        <w:pStyle w:val="CroweBodyCopy"/>
        <w:rPr>
          <w:rFonts w:cstheme="minorHAnsi"/>
          <w:sz w:val="18"/>
          <w:szCs w:val="18"/>
          <w:lang w:val="en-GB"/>
        </w:rPr>
      </w:pPr>
      <w:r w:rsidRPr="00332D3B">
        <w:rPr>
          <w:rFonts w:cstheme="minorHAnsi"/>
          <w:sz w:val="18"/>
          <w:szCs w:val="18"/>
          <w:lang w:val="en-GB"/>
        </w:rPr>
        <w:t xml:space="preserve">In the light of the knowledge and understanding of the company and their environment obtained </w:t>
      </w:r>
      <w:proofErr w:type="gramStart"/>
      <w:r w:rsidRPr="00332D3B">
        <w:rPr>
          <w:rFonts w:cstheme="minorHAnsi"/>
          <w:sz w:val="18"/>
          <w:szCs w:val="18"/>
          <w:lang w:val="en-GB"/>
        </w:rPr>
        <w:t>in the course of</w:t>
      </w:r>
      <w:proofErr w:type="gramEnd"/>
      <w:r w:rsidRPr="00332D3B">
        <w:rPr>
          <w:rFonts w:cstheme="minorHAnsi"/>
          <w:sz w:val="18"/>
          <w:szCs w:val="18"/>
          <w:lang w:val="en-GB"/>
        </w:rPr>
        <w:t xml:space="preserve"> the audit, we </w:t>
      </w:r>
      <w:r w:rsidRPr="00332D3B">
        <w:rPr>
          <w:rFonts w:cstheme="minorHAnsi"/>
          <w:sz w:val="18"/>
          <w:szCs w:val="18"/>
          <w:lang w:val="en-GB"/>
        </w:rPr>
        <w:lastRenderedPageBreak/>
        <w:t xml:space="preserve">have not identified material misstatements in the strategic report or the directors’ report. </w:t>
      </w:r>
    </w:p>
    <w:p w14:paraId="3B2EFF28" w14:textId="77777777" w:rsidR="009B5E9D" w:rsidRPr="00332D3B" w:rsidRDefault="009B5E9D" w:rsidP="009B5E9D">
      <w:pPr>
        <w:pStyle w:val="CroweBodyCopy"/>
        <w:rPr>
          <w:rFonts w:cstheme="minorHAnsi"/>
          <w:sz w:val="18"/>
          <w:szCs w:val="18"/>
          <w:lang w:val="en-GB"/>
        </w:rPr>
      </w:pPr>
      <w:r w:rsidRPr="00332D3B">
        <w:rPr>
          <w:rFonts w:cstheme="minorHAnsi"/>
          <w:sz w:val="18"/>
          <w:szCs w:val="18"/>
          <w:lang w:val="en-GB"/>
        </w:rPr>
        <w:t>We have nothing to report in respect of the following matters in relation to which the Companies Act 2006 requires us to report to you if, in our opinion:</w:t>
      </w:r>
    </w:p>
    <w:p w14:paraId="14FF79F3" w14:textId="77777777" w:rsidR="009B5E9D" w:rsidRPr="00332D3B" w:rsidRDefault="009B5E9D" w:rsidP="009B5E9D">
      <w:pPr>
        <w:pStyle w:val="Crowebullets"/>
        <w:numPr>
          <w:ilvl w:val="0"/>
          <w:numId w:val="12"/>
        </w:numPr>
        <w:spacing w:before="0"/>
        <w:jc w:val="left"/>
        <w:rPr>
          <w:rFonts w:cstheme="minorHAnsi"/>
          <w:sz w:val="18"/>
          <w:szCs w:val="18"/>
        </w:rPr>
      </w:pPr>
      <w:r w:rsidRPr="00332D3B">
        <w:rPr>
          <w:rFonts w:cstheme="minorHAnsi"/>
          <w:sz w:val="18"/>
          <w:szCs w:val="18"/>
        </w:rPr>
        <w:t>adequate accounting records have not been kept by the company, or returns adequate for our audit have not been received from branches not visited by us; or</w:t>
      </w:r>
    </w:p>
    <w:p w14:paraId="27F61FA4" w14:textId="77777777" w:rsidR="009B5E9D" w:rsidRPr="00332D3B" w:rsidRDefault="009B5E9D" w:rsidP="009B5E9D">
      <w:pPr>
        <w:pStyle w:val="Crowebullets"/>
        <w:numPr>
          <w:ilvl w:val="0"/>
          <w:numId w:val="12"/>
        </w:numPr>
        <w:spacing w:before="0"/>
        <w:jc w:val="left"/>
        <w:rPr>
          <w:rFonts w:cstheme="minorHAnsi"/>
          <w:sz w:val="18"/>
          <w:szCs w:val="18"/>
        </w:rPr>
      </w:pPr>
      <w:r w:rsidRPr="00332D3B">
        <w:rPr>
          <w:rFonts w:cstheme="minorHAnsi"/>
          <w:sz w:val="18"/>
          <w:szCs w:val="18"/>
        </w:rPr>
        <w:t>the company financial statements and the part of the directors’ remuneration report to be audited are not in agreement with the accounting records and returns; or</w:t>
      </w:r>
    </w:p>
    <w:p w14:paraId="2828B18B" w14:textId="77777777" w:rsidR="009B5E9D" w:rsidRPr="00332D3B" w:rsidRDefault="009B5E9D" w:rsidP="009B5E9D">
      <w:pPr>
        <w:pStyle w:val="Crowebullets"/>
        <w:numPr>
          <w:ilvl w:val="0"/>
          <w:numId w:val="12"/>
        </w:numPr>
        <w:spacing w:before="0"/>
        <w:jc w:val="left"/>
        <w:rPr>
          <w:rFonts w:cstheme="minorHAnsi"/>
          <w:sz w:val="18"/>
          <w:szCs w:val="18"/>
        </w:rPr>
      </w:pPr>
      <w:r w:rsidRPr="00332D3B">
        <w:rPr>
          <w:rFonts w:cstheme="minorHAnsi"/>
          <w:sz w:val="18"/>
          <w:szCs w:val="18"/>
        </w:rPr>
        <w:t>certain disclosures of directors’ remuneration specified by law are not made; or</w:t>
      </w:r>
    </w:p>
    <w:p w14:paraId="3C2FE89B" w14:textId="77777777" w:rsidR="009B5E9D" w:rsidRPr="00332D3B" w:rsidRDefault="009B5E9D" w:rsidP="009B5E9D">
      <w:pPr>
        <w:pStyle w:val="Crowebullets"/>
        <w:numPr>
          <w:ilvl w:val="0"/>
          <w:numId w:val="12"/>
        </w:numPr>
        <w:spacing w:before="0"/>
        <w:jc w:val="left"/>
        <w:rPr>
          <w:rFonts w:cstheme="minorHAnsi"/>
          <w:sz w:val="18"/>
          <w:szCs w:val="18"/>
        </w:rPr>
      </w:pPr>
      <w:r w:rsidRPr="00332D3B">
        <w:rPr>
          <w:rFonts w:cstheme="minorHAnsi"/>
          <w:sz w:val="18"/>
          <w:szCs w:val="18"/>
        </w:rPr>
        <w:t>we have not received all the information and explanations we require for our audit</w:t>
      </w:r>
    </w:p>
    <w:p w14:paraId="14FB4440" w14:textId="77777777" w:rsidR="009B5E9D" w:rsidRPr="00332D3B" w:rsidRDefault="009B5E9D" w:rsidP="009B5E9D">
      <w:pPr>
        <w:pStyle w:val="CroweBodyCopy"/>
        <w:keepNext/>
        <w:spacing w:before="240"/>
        <w:rPr>
          <w:rFonts w:eastAsia="Arial" w:cstheme="minorHAnsi"/>
          <w:b/>
          <w:sz w:val="18"/>
          <w:szCs w:val="18"/>
          <w:lang w:val="en-GB"/>
        </w:rPr>
      </w:pPr>
      <w:r w:rsidRPr="00332D3B">
        <w:rPr>
          <w:rFonts w:eastAsia="Arial" w:cstheme="minorHAnsi"/>
          <w:b/>
          <w:sz w:val="18"/>
          <w:szCs w:val="18"/>
          <w:lang w:val="en-GB"/>
        </w:rPr>
        <w:t xml:space="preserve">Responsibilities of </w:t>
      </w:r>
      <w:r w:rsidRPr="00332D3B">
        <w:rPr>
          <w:rFonts w:cstheme="minorHAnsi"/>
          <w:b/>
          <w:sz w:val="18"/>
          <w:szCs w:val="18"/>
        </w:rPr>
        <w:t>the</w:t>
      </w:r>
      <w:r w:rsidRPr="00332D3B">
        <w:rPr>
          <w:rFonts w:eastAsia="Arial" w:cstheme="minorHAnsi"/>
          <w:b/>
          <w:sz w:val="18"/>
          <w:szCs w:val="18"/>
          <w:lang w:val="en-GB"/>
        </w:rPr>
        <w:t xml:space="preserve"> directors for the financial statements</w:t>
      </w:r>
    </w:p>
    <w:p w14:paraId="0675F8BC" w14:textId="0778C0D4" w:rsidR="009B5E9D" w:rsidRPr="00332D3B" w:rsidRDefault="009B5E9D" w:rsidP="009B5E9D">
      <w:pPr>
        <w:pStyle w:val="CroweBodyCopy"/>
        <w:rPr>
          <w:rFonts w:cstheme="minorHAnsi"/>
          <w:sz w:val="18"/>
          <w:szCs w:val="18"/>
          <w:lang w:eastAsia="en-GB"/>
        </w:rPr>
      </w:pPr>
      <w:r w:rsidRPr="00332D3B">
        <w:rPr>
          <w:rFonts w:cstheme="minorHAnsi"/>
          <w:sz w:val="18"/>
          <w:szCs w:val="18"/>
          <w:lang w:eastAsia="en-GB"/>
        </w:rPr>
        <w:t xml:space="preserve">As explained more fully in the directors’ responsibilities statement set out on page </w:t>
      </w:r>
      <w:r w:rsidRPr="00332D3B">
        <w:rPr>
          <w:rFonts w:cstheme="minorHAnsi"/>
          <w:color w:val="FF0000"/>
          <w:sz w:val="18"/>
          <w:szCs w:val="18"/>
          <w:lang w:eastAsia="en-GB"/>
        </w:rPr>
        <w:t>8</w:t>
      </w:r>
      <w:r w:rsidRPr="00332D3B">
        <w:rPr>
          <w:rFonts w:cstheme="minorHAnsi"/>
          <w:sz w:val="18"/>
          <w:szCs w:val="18"/>
          <w:lang w:eastAsia="en-GB"/>
        </w:rPr>
        <w: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w:t>
      </w:r>
    </w:p>
    <w:p w14:paraId="76D40196" w14:textId="77777777" w:rsidR="009B5E9D" w:rsidRPr="00332D3B" w:rsidRDefault="009B5E9D" w:rsidP="009B5E9D">
      <w:pPr>
        <w:pStyle w:val="CroweBodyCopy"/>
        <w:rPr>
          <w:rFonts w:cstheme="minorHAnsi"/>
          <w:sz w:val="18"/>
          <w:szCs w:val="18"/>
          <w:lang w:eastAsia="en-GB"/>
        </w:rPr>
      </w:pPr>
      <w:r w:rsidRPr="00332D3B">
        <w:rPr>
          <w:rFonts w:cstheme="minorHAnsi"/>
          <w:sz w:val="18"/>
          <w:szCs w:val="18"/>
          <w:lang w:eastAsia="en-GB"/>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w:t>
      </w:r>
    </w:p>
    <w:p w14:paraId="3E4DC7A9" w14:textId="77777777" w:rsidR="009B5E9D" w:rsidRPr="00332D3B" w:rsidRDefault="009B5E9D" w:rsidP="009B5E9D">
      <w:pPr>
        <w:pStyle w:val="CroweBodyCopy"/>
        <w:keepNext/>
        <w:spacing w:before="240"/>
        <w:rPr>
          <w:rFonts w:eastAsia="Times New Roman" w:cstheme="minorHAnsi"/>
          <w:b/>
          <w:sz w:val="18"/>
          <w:szCs w:val="18"/>
          <w:lang w:val="en-GB"/>
        </w:rPr>
      </w:pPr>
      <w:r w:rsidRPr="00332D3B">
        <w:rPr>
          <w:rFonts w:eastAsia="Times New Roman" w:cstheme="minorHAnsi"/>
          <w:b/>
          <w:sz w:val="18"/>
          <w:szCs w:val="18"/>
          <w:lang w:val="en-GB"/>
        </w:rPr>
        <w:t xml:space="preserve">Auditor’s </w:t>
      </w:r>
      <w:r w:rsidRPr="00332D3B">
        <w:rPr>
          <w:rFonts w:cstheme="minorHAnsi"/>
          <w:b/>
          <w:sz w:val="18"/>
          <w:szCs w:val="18"/>
        </w:rPr>
        <w:t>responsibilities</w:t>
      </w:r>
      <w:r w:rsidRPr="00332D3B">
        <w:rPr>
          <w:rFonts w:eastAsia="Times New Roman" w:cstheme="minorHAnsi"/>
          <w:b/>
          <w:sz w:val="18"/>
          <w:szCs w:val="18"/>
          <w:lang w:val="en-GB"/>
        </w:rPr>
        <w:t xml:space="preserve"> for the audit of the financial statements</w:t>
      </w:r>
    </w:p>
    <w:p w14:paraId="48F17516"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xml:space="preserve">Our objectives are to obtain reasonable assurance about whether the financial statements </w:t>
      </w:r>
      <w:proofErr w:type="gramStart"/>
      <w:r w:rsidRPr="00332D3B">
        <w:rPr>
          <w:rFonts w:cstheme="minorHAnsi"/>
          <w:sz w:val="18"/>
          <w:szCs w:val="18"/>
          <w:lang w:eastAsia="en-GB"/>
        </w:rPr>
        <w:t>as a whole are</w:t>
      </w:r>
      <w:proofErr w:type="gramEnd"/>
      <w:r w:rsidRPr="00332D3B">
        <w:rPr>
          <w:rFonts w:cstheme="minorHAnsi"/>
          <w:sz w:val="18"/>
          <w:szCs w:val="18"/>
          <w:lang w:eastAsia="en-GB"/>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32D3B">
        <w:rPr>
          <w:rFonts w:cstheme="minorHAnsi"/>
          <w:sz w:val="18"/>
          <w:szCs w:val="18"/>
          <w:lang w:eastAsia="en-GB"/>
        </w:rPr>
        <w:t>on the basis of</w:t>
      </w:r>
      <w:proofErr w:type="gramEnd"/>
      <w:r w:rsidRPr="00332D3B">
        <w:rPr>
          <w:rFonts w:cstheme="minorHAnsi"/>
          <w:sz w:val="18"/>
          <w:szCs w:val="18"/>
          <w:lang w:eastAsia="en-GB"/>
        </w:rPr>
        <w:t xml:space="preserve"> these financial statements.</w:t>
      </w:r>
    </w:p>
    <w:p w14:paraId="7225ACE6"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rsidRPr="00332D3B">
        <w:rPr>
          <w:rFonts w:cstheme="minorHAnsi"/>
          <w:sz w:val="18"/>
          <w:szCs w:val="18"/>
          <w:lang w:eastAsia="en-GB"/>
        </w:rPr>
        <w:t>are capable of detecting</w:t>
      </w:r>
      <w:proofErr w:type="gramEnd"/>
      <w:r w:rsidRPr="00332D3B">
        <w:rPr>
          <w:rFonts w:cstheme="minorHAnsi"/>
          <w:sz w:val="18"/>
          <w:szCs w:val="18"/>
          <w:lang w:eastAsia="en-GB"/>
        </w:rPr>
        <w:t xml:space="preserve"> irregularities, including fraud is detailed below:</w:t>
      </w:r>
    </w:p>
    <w:p w14:paraId="2A66E094"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We obtained an understanding of the legal and regulatory frameworks that are applicable to the company and the procedures in place for ensuring compliance in the jurisdictions where the company operates, focusing on those laws and regulations that have a direct effect on the determination of material amounts and disclosures in the financial statements. The laws and regulations we considered in this context were the Companies Act 2006 and relevant taxation legislation.</w:t>
      </w:r>
    </w:p>
    <w:p w14:paraId="47C24C55"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We assessed the nature of the company’s business, the control environment and performance to date when evaluating the incentives and opportunities to commit fraud.</w:t>
      </w:r>
    </w:p>
    <w:p w14:paraId="03F7260F"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We identified the greatest risk of material impact on the financial statements from irregularities, including fraud, to be the override of controls by management to manipulate financial reporting and misappropriate funds. Our procedures to address the risk of management override included:</w:t>
      </w:r>
    </w:p>
    <w:p w14:paraId="3B7BC45F"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xml:space="preserve">• enquiries of management about their own identification and assessment of the risks of </w:t>
      </w:r>
      <w:proofErr w:type="gramStart"/>
      <w:r w:rsidRPr="00332D3B">
        <w:rPr>
          <w:rFonts w:cstheme="minorHAnsi"/>
          <w:sz w:val="18"/>
          <w:szCs w:val="18"/>
          <w:lang w:eastAsia="en-GB"/>
        </w:rPr>
        <w:t>irregularities;</w:t>
      </w:r>
      <w:proofErr w:type="gramEnd"/>
    </w:p>
    <w:p w14:paraId="16294FD3"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xml:space="preserve">• obtaining supporting evidence for a risk-based sample of journals, derived using a data analytics </w:t>
      </w:r>
      <w:proofErr w:type="gramStart"/>
      <w:r w:rsidRPr="00332D3B">
        <w:rPr>
          <w:rFonts w:cstheme="minorHAnsi"/>
          <w:sz w:val="18"/>
          <w:szCs w:val="18"/>
          <w:lang w:eastAsia="en-GB"/>
        </w:rPr>
        <w:t>tool;</w:t>
      </w:r>
      <w:proofErr w:type="gramEnd"/>
    </w:p>
    <w:p w14:paraId="49E806ED"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xml:space="preserve">• considering audit adjustments identified from our audit work for evidence of bias in </w:t>
      </w:r>
      <w:proofErr w:type="gramStart"/>
      <w:r w:rsidRPr="00332D3B">
        <w:rPr>
          <w:rFonts w:cstheme="minorHAnsi"/>
          <w:sz w:val="18"/>
          <w:szCs w:val="18"/>
          <w:lang w:eastAsia="en-GB"/>
        </w:rPr>
        <w:t>reporting;</w:t>
      </w:r>
      <w:proofErr w:type="gramEnd"/>
    </w:p>
    <w:p w14:paraId="655E918E"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xml:space="preserve">• considering significant estimates and judgements made by management for evidence of </w:t>
      </w:r>
      <w:proofErr w:type="gramStart"/>
      <w:r w:rsidRPr="00332D3B">
        <w:rPr>
          <w:rFonts w:cstheme="minorHAnsi"/>
          <w:sz w:val="18"/>
          <w:szCs w:val="18"/>
          <w:lang w:eastAsia="en-GB"/>
        </w:rPr>
        <w:t>bias;</w:t>
      </w:r>
      <w:proofErr w:type="gramEnd"/>
    </w:p>
    <w:p w14:paraId="7802DE28"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 reviewing the other information presented in the annual report for fair representation and consistency with the audited financial statements and the information available to us as the auditors.</w:t>
      </w:r>
    </w:p>
    <w:p w14:paraId="2111A21D" w14:textId="77777777" w:rsidR="009B5E9D" w:rsidRPr="00332D3B" w:rsidRDefault="009B5E9D" w:rsidP="009B5E9D">
      <w:pPr>
        <w:pStyle w:val="CroweBodyCopy"/>
        <w:spacing w:before="240"/>
        <w:rPr>
          <w:rFonts w:cstheme="minorHAnsi"/>
          <w:sz w:val="18"/>
          <w:szCs w:val="18"/>
          <w:lang w:eastAsia="en-GB"/>
        </w:rPr>
      </w:pPr>
      <w:r w:rsidRPr="00332D3B">
        <w:rPr>
          <w:rFonts w:cstheme="minorHAnsi"/>
          <w:sz w:val="18"/>
          <w:szCs w:val="18"/>
          <w:lang w:eastAsia="en-GB"/>
        </w:rPr>
        <w:t xml:space="preserve">Owing to the inherent limitations of an audit, there is an unavoidable risk that some material misstatements of the financial statements may not be detected, even though the audit is properly planned and performed in accordance with the ISAs (UK). </w:t>
      </w:r>
      <w:r w:rsidRPr="00332D3B">
        <w:rPr>
          <w:rFonts w:eastAsia="WPP-Black" w:cstheme="minorHAnsi"/>
          <w:sz w:val="18"/>
          <w:szCs w:val="18"/>
          <w:lang w:eastAsia="en-GB"/>
        </w:rPr>
        <w:t xml:space="preserve">The potential effects of inherent </w:t>
      </w:r>
      <w:r w:rsidRPr="00332D3B">
        <w:rPr>
          <w:rFonts w:cstheme="minorHAnsi"/>
          <w:sz w:val="18"/>
          <w:szCs w:val="18"/>
        </w:rPr>
        <w:t>limitations are particularly significant in the case of misstatement resulting from fraud because fraud may involve sophisticated and carefully organized schemes designed to conceal it, including deliberate failure to record transactions, collusion or intentional misrepresentations being made to us.</w:t>
      </w:r>
    </w:p>
    <w:p w14:paraId="3C84F67F" w14:textId="77777777" w:rsidR="009B5E9D" w:rsidRPr="00332D3B" w:rsidRDefault="009B5E9D" w:rsidP="009B5E9D">
      <w:pPr>
        <w:rPr>
          <w:rFonts w:cstheme="minorHAnsi"/>
          <w:sz w:val="18"/>
          <w:szCs w:val="18"/>
          <w:lang w:eastAsia="en-GB"/>
        </w:rPr>
      </w:pPr>
      <w:r w:rsidRPr="00332D3B">
        <w:rPr>
          <w:rFonts w:cstheme="minorHAnsi"/>
          <w:sz w:val="18"/>
          <w:szCs w:val="18"/>
          <w:lang w:eastAsia="en-GB"/>
        </w:rPr>
        <w:t xml:space="preserve">A further description of our responsibilities for the audit of the financial statements is located on the Financial Reporting Council’s website at: </w:t>
      </w:r>
      <w:r w:rsidRPr="00332D3B">
        <w:rPr>
          <w:rFonts w:cstheme="minorHAnsi"/>
          <w:sz w:val="18"/>
          <w:szCs w:val="18"/>
        </w:rPr>
        <w:t>www.frc.org.uk/auditorsresponsibilities</w:t>
      </w:r>
      <w:r w:rsidRPr="00332D3B">
        <w:rPr>
          <w:rFonts w:cstheme="minorHAnsi"/>
          <w:sz w:val="18"/>
          <w:szCs w:val="18"/>
          <w:lang w:eastAsia="en-GB"/>
        </w:rPr>
        <w:t>. This description forms part of our auditor’s report.</w:t>
      </w:r>
    </w:p>
    <w:p w14:paraId="53F1364F" w14:textId="77777777" w:rsidR="009B5E9D" w:rsidRPr="00332D3B" w:rsidRDefault="009B5E9D" w:rsidP="009B5E9D">
      <w:pPr>
        <w:pStyle w:val="CroweBodyCopy"/>
        <w:keepNext/>
        <w:spacing w:before="240"/>
        <w:rPr>
          <w:rFonts w:eastAsia="Times New Roman" w:cstheme="minorHAnsi"/>
          <w:b/>
          <w:sz w:val="18"/>
          <w:szCs w:val="18"/>
          <w:lang w:val="en-GB"/>
        </w:rPr>
      </w:pPr>
      <w:r w:rsidRPr="00332D3B">
        <w:rPr>
          <w:rFonts w:eastAsia="Times New Roman" w:cstheme="minorHAnsi"/>
          <w:b/>
          <w:sz w:val="18"/>
          <w:szCs w:val="18"/>
          <w:lang w:val="en-GB"/>
        </w:rPr>
        <w:lastRenderedPageBreak/>
        <w:t xml:space="preserve">Other </w:t>
      </w:r>
      <w:r w:rsidRPr="00332D3B">
        <w:rPr>
          <w:rFonts w:cstheme="minorHAnsi"/>
          <w:b/>
          <w:sz w:val="18"/>
          <w:szCs w:val="18"/>
        </w:rPr>
        <w:t>matters</w:t>
      </w:r>
      <w:r w:rsidRPr="00332D3B">
        <w:rPr>
          <w:rFonts w:eastAsia="Times New Roman" w:cstheme="minorHAnsi"/>
          <w:b/>
          <w:sz w:val="18"/>
          <w:szCs w:val="18"/>
          <w:lang w:val="en-GB"/>
        </w:rPr>
        <w:t xml:space="preserve"> which we are required to address</w:t>
      </w:r>
    </w:p>
    <w:p w14:paraId="67BD5C2C"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We were appointed by the Audit Committee in April 2020 to audit the financial statements for the period ended 31 January 2020. Our total uninterrupted period of engagement is 4 years, covering the period ended 31 January 2020 to year ended 31 January 2023.</w:t>
      </w:r>
    </w:p>
    <w:p w14:paraId="6685FE44" w14:textId="77777777" w:rsidR="009B5E9D" w:rsidRPr="00332D3B" w:rsidRDefault="009B5E9D" w:rsidP="009B5E9D">
      <w:pPr>
        <w:autoSpaceDE w:val="0"/>
        <w:autoSpaceDN w:val="0"/>
        <w:adjustRightInd w:val="0"/>
        <w:rPr>
          <w:rFonts w:cstheme="minorHAnsi"/>
          <w:sz w:val="18"/>
          <w:szCs w:val="18"/>
          <w:lang w:eastAsia="en-GB"/>
        </w:rPr>
      </w:pPr>
      <w:r w:rsidRPr="00332D3B">
        <w:rPr>
          <w:rFonts w:cstheme="minorHAnsi"/>
          <w:sz w:val="18"/>
          <w:szCs w:val="18"/>
          <w:lang w:eastAsia="en-GB"/>
        </w:rPr>
        <w:t>The non-audit services prohibited by the FRC’s Ethical Standard were not provided to the company and we remain independent of the company in conducting our audit.</w:t>
      </w:r>
    </w:p>
    <w:p w14:paraId="3D786154" w14:textId="77777777" w:rsidR="009B5E9D" w:rsidRPr="00332D3B" w:rsidRDefault="009B5E9D" w:rsidP="009B5E9D">
      <w:pPr>
        <w:pStyle w:val="CroweBodyCopy"/>
        <w:rPr>
          <w:rFonts w:cstheme="minorHAnsi"/>
          <w:sz w:val="18"/>
          <w:szCs w:val="18"/>
          <w:lang w:eastAsia="en-GB"/>
        </w:rPr>
      </w:pPr>
      <w:r w:rsidRPr="00332D3B">
        <w:rPr>
          <w:rFonts w:cstheme="minorHAnsi"/>
          <w:sz w:val="18"/>
          <w:szCs w:val="18"/>
          <w:lang w:eastAsia="en-GB"/>
        </w:rPr>
        <w:t>Our audit opinion is consistent with the additional report to the audit committee.</w:t>
      </w:r>
    </w:p>
    <w:p w14:paraId="4E3A9933" w14:textId="77777777" w:rsidR="009B5E9D" w:rsidRPr="00332D3B" w:rsidRDefault="009B5E9D" w:rsidP="009B5E9D">
      <w:pPr>
        <w:pStyle w:val="CroweBodyCopy"/>
        <w:keepNext/>
        <w:spacing w:before="240"/>
        <w:rPr>
          <w:rFonts w:eastAsia="Times New Roman" w:cstheme="minorHAnsi"/>
          <w:b/>
          <w:sz w:val="18"/>
          <w:szCs w:val="18"/>
          <w:lang w:val="en-GB"/>
        </w:rPr>
      </w:pPr>
      <w:r w:rsidRPr="00332D3B">
        <w:rPr>
          <w:rFonts w:eastAsia="Times New Roman" w:cstheme="minorHAnsi"/>
          <w:b/>
          <w:sz w:val="18"/>
          <w:szCs w:val="18"/>
          <w:lang w:val="en-GB"/>
        </w:rPr>
        <w:t xml:space="preserve">Use of </w:t>
      </w:r>
      <w:r w:rsidRPr="00332D3B">
        <w:rPr>
          <w:rFonts w:cstheme="minorHAnsi"/>
          <w:b/>
          <w:sz w:val="18"/>
          <w:szCs w:val="18"/>
        </w:rPr>
        <w:t>our</w:t>
      </w:r>
      <w:r w:rsidRPr="00332D3B">
        <w:rPr>
          <w:rFonts w:eastAsia="Times New Roman" w:cstheme="minorHAnsi"/>
          <w:b/>
          <w:sz w:val="18"/>
          <w:szCs w:val="18"/>
          <w:lang w:val="en-GB"/>
        </w:rPr>
        <w:t xml:space="preserve"> report</w:t>
      </w:r>
    </w:p>
    <w:p w14:paraId="39141085" w14:textId="77777777" w:rsidR="009B5E9D" w:rsidRPr="00332D3B" w:rsidRDefault="009B5E9D" w:rsidP="009B5E9D">
      <w:pPr>
        <w:pStyle w:val="CroweBodyCopy"/>
        <w:rPr>
          <w:rFonts w:cstheme="minorHAnsi"/>
          <w:sz w:val="18"/>
          <w:szCs w:val="18"/>
        </w:rPr>
      </w:pPr>
      <w:r w:rsidRPr="00332D3B">
        <w:rPr>
          <w:rFonts w:cstheme="minorHAnsi"/>
          <w:sz w:val="18"/>
          <w:szCs w:val="18"/>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51CA93BC" w14:textId="77777777" w:rsidR="009B5E9D" w:rsidRDefault="009B5E9D" w:rsidP="009B5E9D">
      <w:pPr>
        <w:pStyle w:val="CroweBodyCopy"/>
        <w:rPr>
          <w:rFonts w:cstheme="minorHAnsi"/>
          <w:sz w:val="18"/>
          <w:szCs w:val="18"/>
          <w:lang w:eastAsia="en-GB"/>
        </w:rPr>
      </w:pPr>
    </w:p>
    <w:p w14:paraId="6A25F1BC" w14:textId="77777777" w:rsidR="006B15F1" w:rsidRDefault="006B15F1" w:rsidP="009B5E9D">
      <w:pPr>
        <w:pStyle w:val="CroweBodyCopy"/>
        <w:rPr>
          <w:rFonts w:cstheme="minorHAnsi"/>
          <w:sz w:val="18"/>
          <w:szCs w:val="18"/>
          <w:lang w:eastAsia="en-GB"/>
        </w:rPr>
      </w:pPr>
    </w:p>
    <w:p w14:paraId="530D3435" w14:textId="77777777" w:rsidR="006B15F1" w:rsidRPr="00332D3B" w:rsidRDefault="006B15F1" w:rsidP="009B5E9D">
      <w:pPr>
        <w:pStyle w:val="CroweBodyCopy"/>
        <w:rPr>
          <w:rFonts w:cstheme="minorHAnsi"/>
          <w:sz w:val="18"/>
          <w:szCs w:val="18"/>
          <w:lang w:eastAsia="en-GB"/>
        </w:rPr>
      </w:pPr>
    </w:p>
    <w:p w14:paraId="03D924BC" w14:textId="77777777" w:rsidR="009B5E9D" w:rsidRPr="009B5E9D" w:rsidRDefault="009B5E9D" w:rsidP="009B5E9D">
      <w:pPr>
        <w:autoSpaceDE w:val="0"/>
        <w:autoSpaceDN w:val="0"/>
        <w:adjustRightInd w:val="0"/>
        <w:rPr>
          <w:rFonts w:eastAsia="Arial" w:cstheme="minorHAnsi"/>
          <w:b/>
          <w:sz w:val="18"/>
          <w:szCs w:val="18"/>
        </w:rPr>
      </w:pPr>
      <w:r w:rsidRPr="009B5E9D">
        <w:rPr>
          <w:rFonts w:eastAsia="Arial" w:cstheme="minorHAnsi"/>
          <w:b/>
          <w:sz w:val="18"/>
          <w:szCs w:val="18"/>
        </w:rPr>
        <w:t xml:space="preserve">Matthew </w:t>
      </w:r>
      <w:proofErr w:type="spellStart"/>
      <w:r w:rsidRPr="009B5E9D">
        <w:rPr>
          <w:rFonts w:eastAsia="Arial" w:cstheme="minorHAnsi"/>
          <w:b/>
          <w:sz w:val="18"/>
          <w:szCs w:val="18"/>
        </w:rPr>
        <w:t>Stallabrass</w:t>
      </w:r>
      <w:proofErr w:type="spellEnd"/>
    </w:p>
    <w:p w14:paraId="3C62F86B" w14:textId="77777777" w:rsidR="009B5E9D" w:rsidRPr="009B5E9D" w:rsidRDefault="009B5E9D" w:rsidP="006B15F1">
      <w:pPr>
        <w:autoSpaceDE w:val="0"/>
        <w:autoSpaceDN w:val="0"/>
        <w:adjustRightInd w:val="0"/>
        <w:spacing w:before="0" w:after="0"/>
        <w:rPr>
          <w:rFonts w:eastAsia="Arial" w:cstheme="minorHAnsi"/>
          <w:sz w:val="18"/>
          <w:szCs w:val="18"/>
        </w:rPr>
      </w:pPr>
      <w:r w:rsidRPr="009B5E9D">
        <w:rPr>
          <w:rFonts w:eastAsia="Arial" w:cstheme="minorHAnsi"/>
          <w:sz w:val="18"/>
          <w:szCs w:val="18"/>
        </w:rPr>
        <w:t>Senior Statutory Auditor</w:t>
      </w:r>
    </w:p>
    <w:p w14:paraId="3BE0FC95" w14:textId="77777777" w:rsidR="009B5E9D" w:rsidRPr="009B5E9D" w:rsidRDefault="009B5E9D" w:rsidP="006B15F1">
      <w:pPr>
        <w:autoSpaceDE w:val="0"/>
        <w:autoSpaceDN w:val="0"/>
        <w:adjustRightInd w:val="0"/>
        <w:spacing w:before="0" w:after="0"/>
        <w:rPr>
          <w:rFonts w:eastAsia="Arial" w:cstheme="minorHAnsi"/>
          <w:sz w:val="18"/>
          <w:szCs w:val="18"/>
        </w:rPr>
      </w:pPr>
      <w:r w:rsidRPr="009B5E9D">
        <w:rPr>
          <w:rFonts w:eastAsia="Arial" w:cstheme="minorHAnsi"/>
          <w:sz w:val="18"/>
          <w:szCs w:val="18"/>
        </w:rPr>
        <w:t xml:space="preserve">for and on behalf of </w:t>
      </w:r>
    </w:p>
    <w:p w14:paraId="4146C68E" w14:textId="77777777" w:rsidR="009B5E9D" w:rsidRPr="009B5E9D" w:rsidRDefault="009B5E9D" w:rsidP="006B15F1">
      <w:pPr>
        <w:autoSpaceDE w:val="0"/>
        <w:autoSpaceDN w:val="0"/>
        <w:adjustRightInd w:val="0"/>
        <w:spacing w:before="0" w:after="0"/>
        <w:rPr>
          <w:rFonts w:eastAsia="Arial" w:cstheme="minorHAnsi"/>
          <w:b/>
          <w:sz w:val="18"/>
          <w:szCs w:val="18"/>
        </w:rPr>
      </w:pPr>
      <w:r w:rsidRPr="009B5E9D">
        <w:rPr>
          <w:rFonts w:eastAsia="Arial" w:cstheme="minorHAnsi"/>
          <w:b/>
          <w:sz w:val="18"/>
          <w:szCs w:val="18"/>
        </w:rPr>
        <w:t>Crowe U.K. LLP</w:t>
      </w:r>
    </w:p>
    <w:p w14:paraId="533C1B0A" w14:textId="77777777" w:rsidR="009B5E9D" w:rsidRPr="009B5E9D" w:rsidRDefault="009B5E9D" w:rsidP="006B15F1">
      <w:pPr>
        <w:autoSpaceDE w:val="0"/>
        <w:autoSpaceDN w:val="0"/>
        <w:adjustRightInd w:val="0"/>
        <w:spacing w:before="0" w:after="0"/>
        <w:rPr>
          <w:rFonts w:eastAsia="Arial" w:cstheme="minorHAnsi"/>
          <w:sz w:val="18"/>
          <w:szCs w:val="18"/>
        </w:rPr>
      </w:pPr>
      <w:r w:rsidRPr="009B5E9D">
        <w:rPr>
          <w:rFonts w:eastAsia="Arial" w:cstheme="minorHAnsi"/>
          <w:sz w:val="18"/>
          <w:szCs w:val="18"/>
        </w:rPr>
        <w:t>Statutory Auditor</w:t>
      </w:r>
    </w:p>
    <w:p w14:paraId="43E62639" w14:textId="77777777" w:rsidR="009B5E9D" w:rsidRPr="009B5E9D" w:rsidRDefault="009B5E9D" w:rsidP="006B15F1">
      <w:pPr>
        <w:autoSpaceDE w:val="0"/>
        <w:autoSpaceDN w:val="0"/>
        <w:adjustRightInd w:val="0"/>
        <w:spacing w:before="0" w:after="0"/>
        <w:rPr>
          <w:rFonts w:eastAsia="Arial" w:cstheme="minorHAnsi"/>
          <w:sz w:val="18"/>
          <w:szCs w:val="18"/>
        </w:rPr>
      </w:pPr>
      <w:r w:rsidRPr="009B5E9D">
        <w:rPr>
          <w:rFonts w:eastAsia="Arial" w:cstheme="minorHAnsi"/>
          <w:sz w:val="18"/>
          <w:szCs w:val="18"/>
        </w:rPr>
        <w:t>London</w:t>
      </w:r>
    </w:p>
    <w:p w14:paraId="6F553F82" w14:textId="4E8B59F2" w:rsidR="009B5E9D" w:rsidRPr="009B5E9D" w:rsidRDefault="009B5E9D" w:rsidP="006B15F1">
      <w:pPr>
        <w:autoSpaceDE w:val="0"/>
        <w:autoSpaceDN w:val="0"/>
        <w:adjustRightInd w:val="0"/>
        <w:spacing w:before="0" w:after="0"/>
        <w:rPr>
          <w:rFonts w:eastAsia="Arial" w:cstheme="minorHAnsi"/>
          <w:sz w:val="18"/>
          <w:szCs w:val="18"/>
        </w:rPr>
      </w:pPr>
      <w:r w:rsidRPr="009B5E9D">
        <w:rPr>
          <w:rFonts w:eastAsia="Arial" w:cstheme="minorHAnsi"/>
          <w:sz w:val="18"/>
          <w:szCs w:val="18"/>
        </w:rPr>
        <w:t xml:space="preserve">Date: </w:t>
      </w:r>
      <w:r w:rsidR="003A763C">
        <w:rPr>
          <w:rFonts w:eastAsia="Arial" w:cstheme="minorHAnsi"/>
          <w:sz w:val="18"/>
          <w:szCs w:val="18"/>
        </w:rPr>
        <w:t>26</w:t>
      </w:r>
      <w:r w:rsidR="004F30D9">
        <w:rPr>
          <w:rFonts w:eastAsia="Arial" w:cstheme="minorHAnsi"/>
          <w:sz w:val="18"/>
          <w:szCs w:val="18"/>
        </w:rPr>
        <w:t xml:space="preserve"> </w:t>
      </w:r>
      <w:r w:rsidRPr="009B5E9D">
        <w:rPr>
          <w:rFonts w:eastAsia="Arial" w:cstheme="minorHAnsi"/>
          <w:sz w:val="18"/>
          <w:szCs w:val="18"/>
        </w:rPr>
        <w:t>May 2023</w:t>
      </w:r>
    </w:p>
    <w:p w14:paraId="4AB3DF11" w14:textId="48576C3A" w:rsidR="0034263E" w:rsidRPr="00CE64DF" w:rsidRDefault="0034263E" w:rsidP="00CE64DF">
      <w:pPr>
        <w:widowControl/>
        <w:spacing w:before="0" w:after="0"/>
        <w:rPr>
          <w:rFonts w:eastAsia="Times New Roman" w:cstheme="minorHAnsi"/>
          <w:b/>
          <w:color w:val="000000"/>
          <w:kern w:val="0"/>
          <w:sz w:val="18"/>
          <w:szCs w:val="18"/>
          <w:lang w:val="en-US" w:eastAsia="en-GB"/>
        </w:rPr>
      </w:pPr>
      <w:r w:rsidRPr="00BF6237">
        <w:rPr>
          <w:rFonts w:cstheme="minorHAnsi"/>
          <w:b/>
          <w:sz w:val="18"/>
          <w:szCs w:val="18"/>
          <w:lang w:eastAsia="en-GB"/>
        </w:rPr>
        <w:br w:type="page"/>
      </w:r>
    </w:p>
    <w:p w14:paraId="71816232" w14:textId="77777777" w:rsidR="00EF3912" w:rsidRDefault="009E46DF" w:rsidP="00742E97">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COMPREHENSIVE INCOME</w:t>
      </w:r>
    </w:p>
    <w:p w14:paraId="0BA0FBE6" w14:textId="77777777" w:rsidR="009E46DF" w:rsidRPr="009E46DF" w:rsidRDefault="009E46DF" w:rsidP="00742E97">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21069D">
        <w:rPr>
          <w:rFonts w:asciiTheme="minorHAnsi" w:eastAsia="SimSun" w:hAnsiTheme="minorHAnsi" w:cstheme="minorHAnsi"/>
          <w:b/>
          <w:bCs/>
          <w:color w:val="auto"/>
          <w:kern w:val="2"/>
          <w:lang w:val="en-GB" w:eastAsia="zh-CN"/>
        </w:rPr>
        <w:t>3</w:t>
      </w:r>
    </w:p>
    <w:p w14:paraId="39EC510A" w14:textId="77777777" w:rsidR="009E46DF" w:rsidRDefault="009E46DF" w:rsidP="00742E97">
      <w:pPr>
        <w:pStyle w:val="TextStd"/>
        <w:tabs>
          <w:tab w:val="clear" w:pos="576"/>
          <w:tab w:val="clear" w:pos="1152"/>
        </w:tabs>
        <w:jc w:val="left"/>
        <w:rPr>
          <w:b/>
          <w:sz w:val="18"/>
          <w:szCs w:val="18"/>
          <w:lang w:eastAsia="en-GB"/>
        </w:rPr>
      </w:pPr>
    </w:p>
    <w:p w14:paraId="39EDC619" w14:textId="77777777" w:rsidR="009E46DF" w:rsidRDefault="009E46DF" w:rsidP="00742E97">
      <w:pPr>
        <w:pStyle w:val="TextStd"/>
        <w:tabs>
          <w:tab w:val="clear" w:pos="576"/>
          <w:tab w:val="clear" w:pos="1152"/>
        </w:tabs>
        <w:jc w:val="left"/>
        <w:rPr>
          <w:b/>
          <w:sz w:val="18"/>
          <w:szCs w:val="18"/>
          <w:lang w:eastAsia="en-GB"/>
        </w:rPr>
      </w:pPr>
    </w:p>
    <w:tbl>
      <w:tblPr>
        <w:tblW w:w="8821" w:type="dxa"/>
        <w:tblLayout w:type="fixed"/>
        <w:tblLook w:val="0000" w:firstRow="0" w:lastRow="0" w:firstColumn="0" w:lastColumn="0" w:noHBand="0" w:noVBand="0"/>
      </w:tblPr>
      <w:tblGrid>
        <w:gridCol w:w="316"/>
        <w:gridCol w:w="1228"/>
        <w:gridCol w:w="1145"/>
        <w:gridCol w:w="279"/>
        <w:gridCol w:w="948"/>
        <w:gridCol w:w="316"/>
        <w:gridCol w:w="948"/>
        <w:gridCol w:w="316"/>
        <w:gridCol w:w="1308"/>
        <w:gridCol w:w="437"/>
        <w:gridCol w:w="1264"/>
        <w:gridCol w:w="316"/>
      </w:tblGrid>
      <w:tr w:rsidR="00AF584C" w:rsidRPr="00BD49E4" w14:paraId="554CA7D0" w14:textId="77777777" w:rsidTr="00AC052C">
        <w:trPr>
          <w:trHeight w:val="264"/>
        </w:trPr>
        <w:tc>
          <w:tcPr>
            <w:tcW w:w="1544" w:type="dxa"/>
            <w:gridSpan w:val="2"/>
            <w:tcBorders>
              <w:top w:val="nil"/>
              <w:left w:val="nil"/>
              <w:bottom w:val="nil"/>
              <w:right w:val="nil"/>
            </w:tcBorders>
            <w:vAlign w:val="bottom"/>
          </w:tcPr>
          <w:p w14:paraId="71D58246"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424" w:type="dxa"/>
            <w:gridSpan w:val="2"/>
            <w:tcBorders>
              <w:top w:val="nil"/>
              <w:left w:val="nil"/>
              <w:bottom w:val="nil"/>
            </w:tcBorders>
            <w:vAlign w:val="bottom"/>
          </w:tcPr>
          <w:p w14:paraId="26F3A56D" w14:textId="77777777" w:rsidR="00AF584C" w:rsidRPr="00BD49E4" w:rsidRDefault="00AF584C" w:rsidP="00AF584C">
            <w:pPr>
              <w:autoSpaceDE w:val="0"/>
              <w:autoSpaceDN w:val="0"/>
              <w:adjustRightInd w:val="0"/>
              <w:spacing w:before="0" w:after="0"/>
              <w:jc w:val="center"/>
              <w:rPr>
                <w:rFonts w:cstheme="minorHAnsi"/>
                <w:b/>
                <w:bCs/>
                <w:color w:val="000000" w:themeColor="text1"/>
                <w:sz w:val="18"/>
                <w:szCs w:val="18"/>
              </w:rPr>
            </w:pPr>
          </w:p>
        </w:tc>
        <w:tc>
          <w:tcPr>
            <w:tcW w:w="948" w:type="dxa"/>
            <w:vAlign w:val="bottom"/>
          </w:tcPr>
          <w:p w14:paraId="6C1E12F2"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Pr>
          <w:p w14:paraId="58C9D1A3"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948" w:type="dxa"/>
            <w:vAlign w:val="bottom"/>
          </w:tcPr>
          <w:p w14:paraId="517C40A4"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vAlign w:val="bottom"/>
          </w:tcPr>
          <w:p w14:paraId="26C8B908"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308" w:type="dxa"/>
            <w:vAlign w:val="bottom"/>
          </w:tcPr>
          <w:p w14:paraId="51F9C61E" w14:textId="74855C52"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bCs/>
                <w:color w:val="000000" w:themeColor="text1"/>
                <w:sz w:val="18"/>
                <w:szCs w:val="18"/>
              </w:rPr>
              <w:t>31 January 20</w:t>
            </w:r>
            <w:r w:rsidR="003D2A29">
              <w:rPr>
                <w:rFonts w:cstheme="minorHAnsi"/>
                <w:b/>
                <w:bCs/>
                <w:color w:val="000000" w:themeColor="text1"/>
                <w:sz w:val="18"/>
                <w:szCs w:val="18"/>
              </w:rPr>
              <w:t>2</w:t>
            </w:r>
            <w:r w:rsidR="008E0A19">
              <w:rPr>
                <w:rFonts w:cstheme="minorHAnsi"/>
                <w:b/>
                <w:bCs/>
                <w:color w:val="000000" w:themeColor="text1"/>
                <w:sz w:val="18"/>
                <w:szCs w:val="18"/>
              </w:rPr>
              <w:t>3</w:t>
            </w:r>
          </w:p>
        </w:tc>
        <w:tc>
          <w:tcPr>
            <w:tcW w:w="437" w:type="dxa"/>
          </w:tcPr>
          <w:p w14:paraId="7632563F"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c>
          <w:tcPr>
            <w:tcW w:w="1264" w:type="dxa"/>
            <w:vAlign w:val="bottom"/>
          </w:tcPr>
          <w:p w14:paraId="40EAFF23"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bCs/>
                <w:color w:val="000000" w:themeColor="text1"/>
                <w:sz w:val="18"/>
                <w:szCs w:val="18"/>
              </w:rPr>
              <w:t>31 January 20</w:t>
            </w:r>
            <w:r w:rsidR="00EF082E">
              <w:rPr>
                <w:rFonts w:cstheme="minorHAnsi"/>
                <w:b/>
                <w:bCs/>
                <w:color w:val="000000" w:themeColor="text1"/>
                <w:sz w:val="18"/>
                <w:szCs w:val="18"/>
              </w:rPr>
              <w:t>2</w:t>
            </w:r>
            <w:r w:rsidR="008E0A19">
              <w:rPr>
                <w:rFonts w:cstheme="minorHAnsi"/>
                <w:b/>
                <w:bCs/>
                <w:color w:val="000000" w:themeColor="text1"/>
                <w:sz w:val="18"/>
                <w:szCs w:val="18"/>
              </w:rPr>
              <w:t>2</w:t>
            </w:r>
          </w:p>
        </w:tc>
        <w:tc>
          <w:tcPr>
            <w:tcW w:w="316" w:type="dxa"/>
            <w:vAlign w:val="bottom"/>
          </w:tcPr>
          <w:p w14:paraId="124AA946"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r>
      <w:tr w:rsidR="00AF584C" w:rsidRPr="00BD49E4" w14:paraId="1778E0B6" w14:textId="77777777" w:rsidTr="00AC052C">
        <w:trPr>
          <w:trHeight w:val="264"/>
        </w:trPr>
        <w:tc>
          <w:tcPr>
            <w:tcW w:w="1544" w:type="dxa"/>
            <w:gridSpan w:val="2"/>
            <w:tcBorders>
              <w:top w:val="nil"/>
              <w:left w:val="nil"/>
              <w:bottom w:val="nil"/>
              <w:right w:val="nil"/>
            </w:tcBorders>
            <w:vAlign w:val="bottom"/>
          </w:tcPr>
          <w:p w14:paraId="78CEB80B"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424" w:type="dxa"/>
            <w:gridSpan w:val="2"/>
            <w:tcBorders>
              <w:top w:val="nil"/>
              <w:left w:val="nil"/>
              <w:bottom w:val="nil"/>
              <w:right w:val="nil"/>
            </w:tcBorders>
            <w:vAlign w:val="bottom"/>
          </w:tcPr>
          <w:p w14:paraId="2D7763E6" w14:textId="77777777" w:rsidR="00AF584C" w:rsidRPr="00BD49E4" w:rsidRDefault="00AF584C" w:rsidP="00AF584C">
            <w:pPr>
              <w:autoSpaceDE w:val="0"/>
              <w:autoSpaceDN w:val="0"/>
              <w:adjustRightInd w:val="0"/>
              <w:spacing w:before="0" w:after="0"/>
              <w:jc w:val="center"/>
              <w:rPr>
                <w:rFonts w:cstheme="minorHAnsi"/>
                <w:bCs/>
                <w:color w:val="000000" w:themeColor="text1"/>
                <w:sz w:val="18"/>
                <w:szCs w:val="18"/>
              </w:rPr>
            </w:pPr>
          </w:p>
        </w:tc>
        <w:tc>
          <w:tcPr>
            <w:tcW w:w="948" w:type="dxa"/>
            <w:tcBorders>
              <w:left w:val="nil"/>
              <w:bottom w:val="nil"/>
              <w:right w:val="nil"/>
            </w:tcBorders>
            <w:vAlign w:val="bottom"/>
          </w:tcPr>
          <w:p w14:paraId="58404997"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35541A4C"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948" w:type="dxa"/>
            <w:tcBorders>
              <w:left w:val="nil"/>
              <w:bottom w:val="nil"/>
              <w:right w:val="nil"/>
            </w:tcBorders>
            <w:vAlign w:val="bottom"/>
          </w:tcPr>
          <w:p w14:paraId="7681936C"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640190D1"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308" w:type="dxa"/>
            <w:tcBorders>
              <w:left w:val="nil"/>
              <w:bottom w:val="nil"/>
              <w:right w:val="nil"/>
            </w:tcBorders>
            <w:vAlign w:val="bottom"/>
          </w:tcPr>
          <w:p w14:paraId="2B1D820F"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437" w:type="dxa"/>
            <w:tcBorders>
              <w:left w:val="nil"/>
              <w:bottom w:val="nil"/>
              <w:right w:val="nil"/>
            </w:tcBorders>
          </w:tcPr>
          <w:p w14:paraId="26135503"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264" w:type="dxa"/>
            <w:tcBorders>
              <w:left w:val="nil"/>
              <w:bottom w:val="nil"/>
              <w:right w:val="nil"/>
            </w:tcBorders>
            <w:vAlign w:val="bottom"/>
          </w:tcPr>
          <w:p w14:paraId="4EB12C94"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316" w:type="dxa"/>
            <w:tcBorders>
              <w:left w:val="nil"/>
              <w:bottom w:val="nil"/>
              <w:right w:val="nil"/>
            </w:tcBorders>
            <w:vAlign w:val="bottom"/>
          </w:tcPr>
          <w:p w14:paraId="7E081775"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r>
      <w:tr w:rsidR="00AF584C" w:rsidRPr="00BD49E4" w14:paraId="650D7FD3" w14:textId="77777777" w:rsidTr="00AC052C">
        <w:trPr>
          <w:trHeight w:val="228"/>
        </w:trPr>
        <w:tc>
          <w:tcPr>
            <w:tcW w:w="1544" w:type="dxa"/>
            <w:gridSpan w:val="2"/>
            <w:tcBorders>
              <w:top w:val="nil"/>
              <w:left w:val="nil"/>
              <w:bottom w:val="nil"/>
              <w:right w:val="nil"/>
            </w:tcBorders>
            <w:vAlign w:val="bottom"/>
          </w:tcPr>
          <w:p w14:paraId="13516DAD" w14:textId="77777777" w:rsidR="00AF584C" w:rsidRPr="00BD49E4" w:rsidRDefault="00AF584C" w:rsidP="00AF584C">
            <w:pPr>
              <w:autoSpaceDE w:val="0"/>
              <w:autoSpaceDN w:val="0"/>
              <w:adjustRightInd w:val="0"/>
              <w:spacing w:before="0" w:after="0"/>
              <w:rPr>
                <w:rFonts w:cstheme="minorHAnsi"/>
                <w:b/>
                <w:color w:val="000000" w:themeColor="text1"/>
                <w:sz w:val="18"/>
                <w:szCs w:val="18"/>
              </w:rPr>
            </w:pPr>
          </w:p>
        </w:tc>
        <w:tc>
          <w:tcPr>
            <w:tcW w:w="1424" w:type="dxa"/>
            <w:gridSpan w:val="2"/>
            <w:tcBorders>
              <w:top w:val="nil"/>
              <w:left w:val="nil"/>
              <w:bottom w:val="nil"/>
              <w:right w:val="nil"/>
            </w:tcBorders>
            <w:vAlign w:val="bottom"/>
          </w:tcPr>
          <w:p w14:paraId="35E94B3B"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bottom w:val="nil"/>
              <w:right w:val="nil"/>
            </w:tcBorders>
            <w:vAlign w:val="bottom"/>
          </w:tcPr>
          <w:p w14:paraId="51F7F7EA"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30EEB1E9"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948" w:type="dxa"/>
            <w:tcBorders>
              <w:top w:val="nil"/>
              <w:left w:val="nil"/>
              <w:bottom w:val="nil"/>
              <w:right w:val="nil"/>
            </w:tcBorders>
            <w:vAlign w:val="bottom"/>
          </w:tcPr>
          <w:p w14:paraId="502C12AF" w14:textId="77777777" w:rsidR="00AF584C" w:rsidRPr="00737882" w:rsidRDefault="0034334C" w:rsidP="00AF584C">
            <w:pPr>
              <w:autoSpaceDE w:val="0"/>
              <w:autoSpaceDN w:val="0"/>
              <w:adjustRightInd w:val="0"/>
              <w:spacing w:before="0" w:after="0"/>
              <w:jc w:val="right"/>
              <w:rPr>
                <w:rFonts w:cstheme="minorHAnsi"/>
                <w:b/>
                <w:bCs/>
                <w:color w:val="000000" w:themeColor="text1"/>
                <w:sz w:val="18"/>
                <w:szCs w:val="18"/>
              </w:rPr>
            </w:pPr>
            <w:r w:rsidRPr="00737882">
              <w:rPr>
                <w:rFonts w:cstheme="minorHAnsi"/>
                <w:b/>
                <w:bCs/>
                <w:color w:val="000000" w:themeColor="text1"/>
                <w:sz w:val="18"/>
                <w:szCs w:val="18"/>
              </w:rPr>
              <w:t>Note</w:t>
            </w:r>
          </w:p>
        </w:tc>
        <w:tc>
          <w:tcPr>
            <w:tcW w:w="316" w:type="dxa"/>
            <w:tcBorders>
              <w:top w:val="nil"/>
              <w:left w:val="nil"/>
              <w:bottom w:val="nil"/>
              <w:right w:val="nil"/>
            </w:tcBorders>
          </w:tcPr>
          <w:p w14:paraId="45D591A6"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bottom w:val="nil"/>
              <w:right w:val="nil"/>
            </w:tcBorders>
            <w:vAlign w:val="bottom"/>
          </w:tcPr>
          <w:p w14:paraId="2D41717C"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437" w:type="dxa"/>
            <w:tcBorders>
              <w:top w:val="nil"/>
              <w:left w:val="nil"/>
              <w:bottom w:val="nil"/>
              <w:right w:val="nil"/>
            </w:tcBorders>
          </w:tcPr>
          <w:p w14:paraId="42AB7644"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bottom w:val="nil"/>
              <w:right w:val="nil"/>
            </w:tcBorders>
            <w:vAlign w:val="bottom"/>
          </w:tcPr>
          <w:p w14:paraId="46E4EED6"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bottom w:val="nil"/>
              <w:right w:val="nil"/>
            </w:tcBorders>
            <w:vAlign w:val="bottom"/>
          </w:tcPr>
          <w:p w14:paraId="57AB634E"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AF584C" w:rsidRPr="00BD49E4" w14:paraId="0148A584" w14:textId="77777777" w:rsidTr="00790A0B">
        <w:trPr>
          <w:trHeight w:val="264"/>
        </w:trPr>
        <w:tc>
          <w:tcPr>
            <w:tcW w:w="2689" w:type="dxa"/>
            <w:gridSpan w:val="3"/>
            <w:tcBorders>
              <w:top w:val="nil"/>
              <w:left w:val="nil"/>
              <w:bottom w:val="nil"/>
              <w:right w:val="nil"/>
            </w:tcBorders>
            <w:vAlign w:val="bottom"/>
          </w:tcPr>
          <w:p w14:paraId="51EDAF59" w14:textId="77777777" w:rsidR="00AF584C" w:rsidRPr="00BD49E4" w:rsidRDefault="00AF584C" w:rsidP="00AF584C">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Revenue</w:t>
            </w:r>
          </w:p>
        </w:tc>
        <w:tc>
          <w:tcPr>
            <w:tcW w:w="279" w:type="dxa"/>
            <w:tcBorders>
              <w:top w:val="nil"/>
              <w:left w:val="nil"/>
              <w:right w:val="nil"/>
            </w:tcBorders>
            <w:vAlign w:val="bottom"/>
          </w:tcPr>
          <w:p w14:paraId="266CC02D"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bottom w:val="nil"/>
              <w:right w:val="nil"/>
            </w:tcBorders>
            <w:vAlign w:val="bottom"/>
          </w:tcPr>
          <w:p w14:paraId="351545D5"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0C24BACC" w14:textId="77777777" w:rsidR="00AF584C" w:rsidRPr="00BD49E4" w:rsidRDefault="00AF584C" w:rsidP="00AF584C">
            <w:pPr>
              <w:autoSpaceDE w:val="0"/>
              <w:autoSpaceDN w:val="0"/>
              <w:adjustRightInd w:val="0"/>
              <w:spacing w:before="0" w:after="0"/>
              <w:jc w:val="right"/>
              <w:rPr>
                <w:rFonts w:cstheme="minorHAnsi"/>
                <w:bCs/>
                <w:color w:val="000000" w:themeColor="text1"/>
                <w:sz w:val="18"/>
                <w:szCs w:val="18"/>
              </w:rPr>
            </w:pPr>
          </w:p>
        </w:tc>
        <w:tc>
          <w:tcPr>
            <w:tcW w:w="948" w:type="dxa"/>
            <w:tcBorders>
              <w:top w:val="nil"/>
              <w:left w:val="nil"/>
              <w:bottom w:val="nil"/>
              <w:right w:val="nil"/>
            </w:tcBorders>
            <w:vAlign w:val="bottom"/>
          </w:tcPr>
          <w:p w14:paraId="781EE359"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5404B2DC"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right w:val="nil"/>
            </w:tcBorders>
            <w:vAlign w:val="bottom"/>
          </w:tcPr>
          <w:p w14:paraId="534E808E" w14:textId="77777777" w:rsidR="00AF584C" w:rsidRPr="00BD49E4" w:rsidRDefault="00AF584C" w:rsidP="00B059BA">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p>
        </w:tc>
        <w:tc>
          <w:tcPr>
            <w:tcW w:w="437" w:type="dxa"/>
            <w:tcBorders>
              <w:top w:val="nil"/>
              <w:left w:val="nil"/>
              <w:right w:val="nil"/>
            </w:tcBorders>
          </w:tcPr>
          <w:p w14:paraId="05A6B13D"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right w:val="nil"/>
            </w:tcBorders>
            <w:vAlign w:val="bottom"/>
          </w:tcPr>
          <w:p w14:paraId="66EA28FB"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p>
        </w:tc>
        <w:tc>
          <w:tcPr>
            <w:tcW w:w="316" w:type="dxa"/>
            <w:tcBorders>
              <w:top w:val="nil"/>
              <w:left w:val="nil"/>
              <w:bottom w:val="nil"/>
              <w:right w:val="nil"/>
            </w:tcBorders>
            <w:vAlign w:val="bottom"/>
          </w:tcPr>
          <w:p w14:paraId="40330B63"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8E0A19" w:rsidRPr="00BD49E4" w14:paraId="3C7774DA" w14:textId="77777777" w:rsidTr="00790A0B">
        <w:trPr>
          <w:trHeight w:val="264"/>
        </w:trPr>
        <w:tc>
          <w:tcPr>
            <w:tcW w:w="2689" w:type="dxa"/>
            <w:gridSpan w:val="3"/>
            <w:tcBorders>
              <w:top w:val="nil"/>
              <w:left w:val="nil"/>
              <w:bottom w:val="nil"/>
              <w:right w:val="nil"/>
            </w:tcBorders>
            <w:vAlign w:val="bottom"/>
          </w:tcPr>
          <w:p w14:paraId="5B02768B" w14:textId="77777777" w:rsidR="008E0A19" w:rsidRPr="00BD49E4" w:rsidRDefault="008E0A19" w:rsidP="008E0A19">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Administrative expenses</w:t>
            </w:r>
          </w:p>
        </w:tc>
        <w:tc>
          <w:tcPr>
            <w:tcW w:w="279" w:type="dxa"/>
            <w:tcBorders>
              <w:top w:val="nil"/>
              <w:left w:val="nil"/>
              <w:right w:val="nil"/>
            </w:tcBorders>
            <w:vAlign w:val="bottom"/>
          </w:tcPr>
          <w:p w14:paraId="088A982E" w14:textId="77777777" w:rsidR="008E0A19" w:rsidRPr="00BD49E4" w:rsidRDefault="008E0A19" w:rsidP="008E0A19">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right w:val="nil"/>
            </w:tcBorders>
            <w:vAlign w:val="bottom"/>
          </w:tcPr>
          <w:p w14:paraId="47FCC7F2" w14:textId="77777777" w:rsidR="008E0A19" w:rsidRPr="00BD49E4" w:rsidRDefault="008E0A19" w:rsidP="008E0A19">
            <w:pPr>
              <w:autoSpaceDE w:val="0"/>
              <w:autoSpaceDN w:val="0"/>
              <w:adjustRightInd w:val="0"/>
              <w:spacing w:before="0" w:after="0"/>
              <w:jc w:val="right"/>
              <w:rPr>
                <w:rFonts w:cstheme="minorHAnsi"/>
                <w:sz w:val="18"/>
                <w:szCs w:val="18"/>
              </w:rPr>
            </w:pPr>
          </w:p>
        </w:tc>
        <w:tc>
          <w:tcPr>
            <w:tcW w:w="316" w:type="dxa"/>
            <w:tcBorders>
              <w:top w:val="nil"/>
              <w:left w:val="nil"/>
              <w:right w:val="nil"/>
            </w:tcBorders>
          </w:tcPr>
          <w:p w14:paraId="478F6156" w14:textId="77777777" w:rsidR="008E0A19" w:rsidRPr="00BD49E4" w:rsidRDefault="008E0A19" w:rsidP="008E0A19">
            <w:pPr>
              <w:autoSpaceDE w:val="0"/>
              <w:autoSpaceDN w:val="0"/>
              <w:adjustRightInd w:val="0"/>
              <w:spacing w:before="0" w:after="0"/>
              <w:jc w:val="right"/>
              <w:rPr>
                <w:rFonts w:cstheme="minorHAnsi"/>
                <w:sz w:val="18"/>
                <w:szCs w:val="18"/>
              </w:rPr>
            </w:pPr>
          </w:p>
        </w:tc>
        <w:tc>
          <w:tcPr>
            <w:tcW w:w="948" w:type="dxa"/>
            <w:tcBorders>
              <w:top w:val="nil"/>
              <w:left w:val="nil"/>
              <w:right w:val="nil"/>
            </w:tcBorders>
            <w:vAlign w:val="bottom"/>
          </w:tcPr>
          <w:p w14:paraId="6295F296" w14:textId="77777777" w:rsidR="008E0A19" w:rsidRPr="00BD49E4" w:rsidRDefault="008E0A19" w:rsidP="008E0A19">
            <w:pPr>
              <w:autoSpaceDE w:val="0"/>
              <w:autoSpaceDN w:val="0"/>
              <w:adjustRightInd w:val="0"/>
              <w:spacing w:before="0" w:after="0"/>
              <w:jc w:val="right"/>
              <w:rPr>
                <w:rFonts w:cstheme="minorHAnsi"/>
                <w:sz w:val="18"/>
                <w:szCs w:val="18"/>
              </w:rPr>
            </w:pPr>
          </w:p>
        </w:tc>
        <w:tc>
          <w:tcPr>
            <w:tcW w:w="316" w:type="dxa"/>
            <w:tcBorders>
              <w:top w:val="nil"/>
              <w:left w:val="nil"/>
              <w:right w:val="nil"/>
            </w:tcBorders>
          </w:tcPr>
          <w:p w14:paraId="2D88563C"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bottom w:val="single" w:sz="4" w:space="0" w:color="auto"/>
              <w:right w:val="nil"/>
            </w:tcBorders>
            <w:vAlign w:val="bottom"/>
          </w:tcPr>
          <w:p w14:paraId="62610B4B" w14:textId="0FCD6B18" w:rsidR="008E0A19" w:rsidRPr="00BD49E4" w:rsidRDefault="00B059BA" w:rsidP="00B059BA">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EF0AF1">
              <w:rPr>
                <w:rFonts w:cstheme="minorHAnsi"/>
                <w:color w:val="000000" w:themeColor="text1"/>
                <w:sz w:val="18"/>
                <w:szCs w:val="18"/>
              </w:rPr>
              <w:t>159,681</w:t>
            </w:r>
            <w:r>
              <w:rPr>
                <w:rFonts w:cstheme="minorHAnsi"/>
                <w:color w:val="000000" w:themeColor="text1"/>
                <w:sz w:val="18"/>
                <w:szCs w:val="18"/>
              </w:rPr>
              <w:t>)</w:t>
            </w:r>
          </w:p>
        </w:tc>
        <w:tc>
          <w:tcPr>
            <w:tcW w:w="437" w:type="dxa"/>
            <w:tcBorders>
              <w:top w:val="nil"/>
              <w:left w:val="nil"/>
              <w:bottom w:val="single" w:sz="4" w:space="0" w:color="auto"/>
              <w:right w:val="nil"/>
            </w:tcBorders>
          </w:tcPr>
          <w:p w14:paraId="3FFB31BC"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bottom w:val="single" w:sz="4" w:space="0" w:color="auto"/>
              <w:right w:val="nil"/>
            </w:tcBorders>
            <w:vAlign w:val="bottom"/>
          </w:tcPr>
          <w:p w14:paraId="22AFCBF2"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172,468</w:t>
            </w:r>
            <w:r w:rsidRPr="00BD49E4">
              <w:rPr>
                <w:rFonts w:cstheme="minorHAnsi"/>
                <w:color w:val="000000" w:themeColor="text1"/>
                <w:sz w:val="18"/>
                <w:szCs w:val="18"/>
              </w:rPr>
              <w:t>)</w:t>
            </w:r>
          </w:p>
        </w:tc>
        <w:tc>
          <w:tcPr>
            <w:tcW w:w="316" w:type="dxa"/>
            <w:tcBorders>
              <w:top w:val="nil"/>
              <w:left w:val="nil"/>
              <w:right w:val="nil"/>
            </w:tcBorders>
            <w:vAlign w:val="bottom"/>
          </w:tcPr>
          <w:p w14:paraId="4D2FC3CD"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r>
      <w:tr w:rsidR="008E0A19" w:rsidRPr="00BD49E4" w14:paraId="39EEE844" w14:textId="77777777" w:rsidTr="00790A0B">
        <w:trPr>
          <w:trHeight w:val="264"/>
        </w:trPr>
        <w:tc>
          <w:tcPr>
            <w:tcW w:w="2689" w:type="dxa"/>
            <w:gridSpan w:val="3"/>
            <w:tcBorders>
              <w:top w:val="nil"/>
              <w:left w:val="nil"/>
              <w:bottom w:val="nil"/>
              <w:right w:val="nil"/>
            </w:tcBorders>
            <w:vAlign w:val="bottom"/>
          </w:tcPr>
          <w:p w14:paraId="4DCA9FD1" w14:textId="77777777" w:rsidR="008E0A19" w:rsidRPr="00BD49E4" w:rsidRDefault="008E0A19" w:rsidP="008E0A19">
            <w:pPr>
              <w:autoSpaceDE w:val="0"/>
              <w:autoSpaceDN w:val="0"/>
              <w:adjustRightInd w:val="0"/>
              <w:spacing w:before="0" w:after="0"/>
              <w:rPr>
                <w:rFonts w:cstheme="minorHAnsi"/>
                <w:color w:val="000000" w:themeColor="text1"/>
                <w:sz w:val="18"/>
                <w:szCs w:val="18"/>
              </w:rPr>
            </w:pPr>
            <w:r w:rsidRPr="00BD49E4">
              <w:rPr>
                <w:rFonts w:cstheme="minorHAnsi"/>
                <w:b/>
                <w:color w:val="000000" w:themeColor="text1"/>
                <w:sz w:val="18"/>
                <w:szCs w:val="18"/>
              </w:rPr>
              <w:t>Operating profit</w:t>
            </w:r>
          </w:p>
        </w:tc>
        <w:tc>
          <w:tcPr>
            <w:tcW w:w="279" w:type="dxa"/>
            <w:tcBorders>
              <w:left w:val="nil"/>
              <w:right w:val="nil"/>
            </w:tcBorders>
            <w:vAlign w:val="bottom"/>
          </w:tcPr>
          <w:p w14:paraId="7161FFD9" w14:textId="77777777" w:rsidR="008E0A19" w:rsidRPr="00BD49E4" w:rsidRDefault="008E0A19" w:rsidP="008E0A19">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57A10963"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316" w:type="dxa"/>
            <w:tcBorders>
              <w:left w:val="nil"/>
              <w:right w:val="nil"/>
            </w:tcBorders>
            <w:vAlign w:val="bottom"/>
          </w:tcPr>
          <w:p w14:paraId="57F207FC"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948" w:type="dxa"/>
            <w:tcBorders>
              <w:left w:val="nil"/>
              <w:right w:val="nil"/>
            </w:tcBorders>
            <w:vAlign w:val="bottom"/>
          </w:tcPr>
          <w:p w14:paraId="7B293366"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316" w:type="dxa"/>
            <w:tcBorders>
              <w:left w:val="nil"/>
              <w:right w:val="nil"/>
            </w:tcBorders>
            <w:vAlign w:val="bottom"/>
          </w:tcPr>
          <w:p w14:paraId="76A5BC9F"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4F42279B" w14:textId="443344EF" w:rsidR="008E0A19" w:rsidRPr="00BD49E4" w:rsidRDefault="00B059BA" w:rsidP="00B059BA">
            <w:pPr>
              <w:autoSpaceDE w:val="0"/>
              <w:autoSpaceDN w:val="0"/>
              <w:adjustRightInd w:val="0"/>
              <w:spacing w:before="0" w:after="0"/>
              <w:jc w:val="right"/>
              <w:rPr>
                <w:rFonts w:cstheme="minorHAnsi"/>
                <w:b/>
                <w:bCs/>
                <w:color w:val="000000" w:themeColor="text1"/>
                <w:sz w:val="18"/>
                <w:szCs w:val="18"/>
              </w:rPr>
            </w:pPr>
            <w:r>
              <w:rPr>
                <w:rFonts w:cstheme="minorHAnsi"/>
                <w:color w:val="000000" w:themeColor="text1"/>
                <w:sz w:val="18"/>
                <w:szCs w:val="18"/>
              </w:rPr>
              <w:t>(</w:t>
            </w:r>
            <w:r w:rsidR="00EF0AF1">
              <w:rPr>
                <w:rFonts w:cstheme="minorHAnsi"/>
                <w:color w:val="000000" w:themeColor="text1"/>
                <w:sz w:val="18"/>
                <w:szCs w:val="18"/>
              </w:rPr>
              <w:t>159,681</w:t>
            </w:r>
            <w:r>
              <w:rPr>
                <w:rFonts w:cstheme="minorHAnsi"/>
                <w:color w:val="000000" w:themeColor="text1"/>
                <w:sz w:val="18"/>
                <w:szCs w:val="18"/>
              </w:rPr>
              <w:t>)</w:t>
            </w:r>
          </w:p>
        </w:tc>
        <w:tc>
          <w:tcPr>
            <w:tcW w:w="437" w:type="dxa"/>
            <w:tcBorders>
              <w:top w:val="single" w:sz="4" w:space="0" w:color="auto"/>
              <w:left w:val="nil"/>
              <w:right w:val="nil"/>
            </w:tcBorders>
          </w:tcPr>
          <w:p w14:paraId="37F64B49"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1264" w:type="dxa"/>
            <w:tcBorders>
              <w:top w:val="single" w:sz="4" w:space="0" w:color="auto"/>
              <w:left w:val="nil"/>
              <w:right w:val="nil"/>
            </w:tcBorders>
            <w:vAlign w:val="bottom"/>
          </w:tcPr>
          <w:p w14:paraId="7EB31186"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172,468</w:t>
            </w:r>
            <w:r w:rsidRPr="00BD49E4">
              <w:rPr>
                <w:rFonts w:cstheme="minorHAnsi"/>
                <w:color w:val="000000" w:themeColor="text1"/>
                <w:sz w:val="18"/>
                <w:szCs w:val="18"/>
              </w:rPr>
              <w:t>)</w:t>
            </w:r>
          </w:p>
        </w:tc>
        <w:tc>
          <w:tcPr>
            <w:tcW w:w="316" w:type="dxa"/>
            <w:tcBorders>
              <w:left w:val="nil"/>
              <w:right w:val="nil"/>
            </w:tcBorders>
            <w:vAlign w:val="bottom"/>
          </w:tcPr>
          <w:p w14:paraId="36B43200"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r>
      <w:tr w:rsidR="008E0A19" w:rsidRPr="00BD49E4" w14:paraId="030F01AD" w14:textId="77777777" w:rsidTr="00790A0B">
        <w:trPr>
          <w:trHeight w:val="264"/>
        </w:trPr>
        <w:tc>
          <w:tcPr>
            <w:tcW w:w="2689" w:type="dxa"/>
            <w:gridSpan w:val="3"/>
            <w:tcBorders>
              <w:top w:val="nil"/>
              <w:left w:val="nil"/>
              <w:bottom w:val="nil"/>
              <w:right w:val="nil"/>
            </w:tcBorders>
            <w:vAlign w:val="bottom"/>
          </w:tcPr>
          <w:p w14:paraId="1D51505F" w14:textId="77777777" w:rsidR="008E0A19" w:rsidRPr="00790A0B" w:rsidRDefault="008E0A19" w:rsidP="008E0A19">
            <w:pPr>
              <w:autoSpaceDE w:val="0"/>
              <w:autoSpaceDN w:val="0"/>
              <w:adjustRightInd w:val="0"/>
              <w:spacing w:before="0" w:after="0"/>
              <w:rPr>
                <w:rFonts w:cstheme="minorHAnsi"/>
                <w:bCs/>
                <w:color w:val="000000" w:themeColor="text1"/>
                <w:sz w:val="18"/>
                <w:szCs w:val="18"/>
              </w:rPr>
            </w:pPr>
            <w:r w:rsidRPr="00790A0B">
              <w:rPr>
                <w:rFonts w:cstheme="minorHAnsi"/>
                <w:bCs/>
                <w:color w:val="000000" w:themeColor="text1"/>
                <w:sz w:val="18"/>
                <w:szCs w:val="18"/>
              </w:rPr>
              <w:t>Finance income</w:t>
            </w:r>
          </w:p>
        </w:tc>
        <w:tc>
          <w:tcPr>
            <w:tcW w:w="279" w:type="dxa"/>
            <w:tcBorders>
              <w:left w:val="nil"/>
              <w:right w:val="nil"/>
            </w:tcBorders>
            <w:vAlign w:val="bottom"/>
          </w:tcPr>
          <w:p w14:paraId="538513EB" w14:textId="77777777" w:rsidR="008E0A19" w:rsidRPr="00790A0B" w:rsidRDefault="008E0A19" w:rsidP="008E0A19">
            <w:pPr>
              <w:autoSpaceDE w:val="0"/>
              <w:autoSpaceDN w:val="0"/>
              <w:adjustRightInd w:val="0"/>
              <w:spacing w:before="0" w:after="0"/>
              <w:jc w:val="center"/>
              <w:rPr>
                <w:rFonts w:cstheme="minorHAnsi"/>
                <w:bCs/>
                <w:color w:val="000000" w:themeColor="text1"/>
                <w:sz w:val="18"/>
                <w:szCs w:val="18"/>
              </w:rPr>
            </w:pPr>
          </w:p>
        </w:tc>
        <w:tc>
          <w:tcPr>
            <w:tcW w:w="948" w:type="dxa"/>
            <w:tcBorders>
              <w:left w:val="nil"/>
              <w:right w:val="nil"/>
            </w:tcBorders>
            <w:vAlign w:val="bottom"/>
          </w:tcPr>
          <w:p w14:paraId="3359FC2F" w14:textId="77777777" w:rsidR="008E0A19" w:rsidRPr="00790A0B" w:rsidRDefault="008E0A19" w:rsidP="008E0A19">
            <w:pPr>
              <w:autoSpaceDE w:val="0"/>
              <w:autoSpaceDN w:val="0"/>
              <w:adjustRightInd w:val="0"/>
              <w:spacing w:before="0" w:after="0"/>
              <w:jc w:val="right"/>
              <w:rPr>
                <w:rFonts w:cstheme="minorHAnsi"/>
                <w:bCs/>
                <w:color w:val="000000" w:themeColor="text1"/>
                <w:sz w:val="18"/>
                <w:szCs w:val="18"/>
              </w:rPr>
            </w:pPr>
          </w:p>
        </w:tc>
        <w:tc>
          <w:tcPr>
            <w:tcW w:w="316" w:type="dxa"/>
            <w:tcBorders>
              <w:left w:val="nil"/>
              <w:right w:val="nil"/>
            </w:tcBorders>
            <w:vAlign w:val="bottom"/>
          </w:tcPr>
          <w:p w14:paraId="1E2C5A70" w14:textId="77777777" w:rsidR="008E0A19" w:rsidRPr="00790A0B" w:rsidRDefault="008E0A19" w:rsidP="008E0A19">
            <w:pPr>
              <w:autoSpaceDE w:val="0"/>
              <w:autoSpaceDN w:val="0"/>
              <w:adjustRightInd w:val="0"/>
              <w:spacing w:before="0" w:after="0"/>
              <w:jc w:val="right"/>
              <w:rPr>
                <w:rFonts w:cstheme="minorHAnsi"/>
                <w:bCs/>
                <w:color w:val="000000" w:themeColor="text1"/>
                <w:sz w:val="18"/>
                <w:szCs w:val="18"/>
              </w:rPr>
            </w:pPr>
          </w:p>
        </w:tc>
        <w:tc>
          <w:tcPr>
            <w:tcW w:w="948" w:type="dxa"/>
            <w:tcBorders>
              <w:left w:val="nil"/>
              <w:right w:val="nil"/>
            </w:tcBorders>
            <w:vAlign w:val="bottom"/>
          </w:tcPr>
          <w:p w14:paraId="2696397B" w14:textId="77777777" w:rsidR="008E0A19" w:rsidRPr="00790A0B" w:rsidRDefault="008E0A19" w:rsidP="008E0A19">
            <w:pPr>
              <w:autoSpaceDE w:val="0"/>
              <w:autoSpaceDN w:val="0"/>
              <w:adjustRightInd w:val="0"/>
              <w:spacing w:before="0" w:after="0"/>
              <w:jc w:val="right"/>
              <w:rPr>
                <w:rFonts w:cstheme="minorHAnsi"/>
                <w:bCs/>
                <w:color w:val="000000" w:themeColor="text1"/>
                <w:sz w:val="18"/>
                <w:szCs w:val="18"/>
              </w:rPr>
            </w:pPr>
          </w:p>
        </w:tc>
        <w:tc>
          <w:tcPr>
            <w:tcW w:w="316" w:type="dxa"/>
            <w:tcBorders>
              <w:left w:val="nil"/>
              <w:right w:val="nil"/>
            </w:tcBorders>
            <w:vAlign w:val="bottom"/>
          </w:tcPr>
          <w:p w14:paraId="6C27DF66" w14:textId="77777777" w:rsidR="008E0A19" w:rsidRPr="00790A0B" w:rsidRDefault="008E0A19" w:rsidP="008E0A19">
            <w:pPr>
              <w:autoSpaceDE w:val="0"/>
              <w:autoSpaceDN w:val="0"/>
              <w:adjustRightInd w:val="0"/>
              <w:spacing w:before="0" w:after="0"/>
              <w:jc w:val="right"/>
              <w:rPr>
                <w:rFonts w:cstheme="minorHAnsi"/>
                <w:bCs/>
                <w:color w:val="000000" w:themeColor="text1"/>
                <w:sz w:val="18"/>
                <w:szCs w:val="18"/>
              </w:rPr>
            </w:pPr>
          </w:p>
        </w:tc>
        <w:tc>
          <w:tcPr>
            <w:tcW w:w="1308" w:type="dxa"/>
            <w:tcBorders>
              <w:left w:val="nil"/>
              <w:right w:val="nil"/>
            </w:tcBorders>
            <w:vAlign w:val="bottom"/>
          </w:tcPr>
          <w:p w14:paraId="50B24357" w14:textId="77777777" w:rsidR="008E0A19" w:rsidRPr="00790A0B" w:rsidRDefault="00B059BA" w:rsidP="004856E9">
            <w:pPr>
              <w:autoSpaceDE w:val="0"/>
              <w:autoSpaceDN w:val="0"/>
              <w:adjustRightInd w:val="0"/>
              <w:spacing w:before="0" w:after="0"/>
              <w:jc w:val="right"/>
              <w:rPr>
                <w:rFonts w:cstheme="minorHAnsi"/>
                <w:bCs/>
                <w:color w:val="000000" w:themeColor="text1"/>
                <w:sz w:val="18"/>
                <w:szCs w:val="18"/>
              </w:rPr>
            </w:pPr>
            <w:r>
              <w:rPr>
                <w:rFonts w:cstheme="minorHAnsi"/>
                <w:bCs/>
                <w:color w:val="000000" w:themeColor="text1"/>
                <w:sz w:val="18"/>
                <w:szCs w:val="18"/>
              </w:rPr>
              <w:t>221</w:t>
            </w:r>
          </w:p>
        </w:tc>
        <w:tc>
          <w:tcPr>
            <w:tcW w:w="437" w:type="dxa"/>
            <w:tcBorders>
              <w:left w:val="nil"/>
              <w:right w:val="nil"/>
            </w:tcBorders>
          </w:tcPr>
          <w:p w14:paraId="61CE4109" w14:textId="77777777" w:rsidR="008E0A19" w:rsidRPr="00790A0B" w:rsidRDefault="008E0A19" w:rsidP="008E0A19">
            <w:pPr>
              <w:autoSpaceDE w:val="0"/>
              <w:autoSpaceDN w:val="0"/>
              <w:adjustRightInd w:val="0"/>
              <w:spacing w:before="0" w:after="0"/>
              <w:jc w:val="right"/>
              <w:rPr>
                <w:rFonts w:cstheme="minorHAnsi"/>
                <w:bCs/>
                <w:color w:val="000000" w:themeColor="text1"/>
                <w:sz w:val="18"/>
                <w:szCs w:val="18"/>
              </w:rPr>
            </w:pPr>
          </w:p>
        </w:tc>
        <w:tc>
          <w:tcPr>
            <w:tcW w:w="1264" w:type="dxa"/>
            <w:tcBorders>
              <w:left w:val="nil"/>
              <w:right w:val="nil"/>
            </w:tcBorders>
            <w:vAlign w:val="bottom"/>
          </w:tcPr>
          <w:p w14:paraId="40A1EDB5" w14:textId="77777777" w:rsidR="008E0A19" w:rsidRPr="00790A0B" w:rsidRDefault="008E0A19" w:rsidP="008E0A19">
            <w:pPr>
              <w:autoSpaceDE w:val="0"/>
              <w:autoSpaceDN w:val="0"/>
              <w:adjustRightInd w:val="0"/>
              <w:spacing w:before="0" w:after="0"/>
              <w:jc w:val="center"/>
              <w:rPr>
                <w:rFonts w:cstheme="minorHAnsi"/>
                <w:bCs/>
                <w:color w:val="000000" w:themeColor="text1"/>
                <w:sz w:val="18"/>
                <w:szCs w:val="18"/>
              </w:rPr>
            </w:pPr>
            <w:r>
              <w:rPr>
                <w:rFonts w:cstheme="minorHAnsi"/>
                <w:bCs/>
                <w:color w:val="000000" w:themeColor="text1"/>
                <w:sz w:val="18"/>
                <w:szCs w:val="18"/>
              </w:rPr>
              <w:t xml:space="preserve">                   -</w:t>
            </w:r>
          </w:p>
        </w:tc>
        <w:tc>
          <w:tcPr>
            <w:tcW w:w="316" w:type="dxa"/>
            <w:tcBorders>
              <w:left w:val="nil"/>
              <w:right w:val="nil"/>
            </w:tcBorders>
            <w:vAlign w:val="bottom"/>
          </w:tcPr>
          <w:p w14:paraId="1F2900C3"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r>
      <w:tr w:rsidR="008E0A19" w:rsidRPr="00BD49E4" w14:paraId="3138DC23" w14:textId="77777777" w:rsidTr="00AC052C">
        <w:trPr>
          <w:trHeight w:val="264"/>
        </w:trPr>
        <w:tc>
          <w:tcPr>
            <w:tcW w:w="2689" w:type="dxa"/>
            <w:gridSpan w:val="3"/>
            <w:tcBorders>
              <w:top w:val="nil"/>
              <w:left w:val="nil"/>
              <w:bottom w:val="nil"/>
              <w:right w:val="nil"/>
            </w:tcBorders>
            <w:vAlign w:val="bottom"/>
          </w:tcPr>
          <w:p w14:paraId="71BFEC3D" w14:textId="77777777" w:rsidR="008E0A19" w:rsidRPr="00BD49E4" w:rsidRDefault="008E0A19" w:rsidP="008E0A19">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Finance costs</w:t>
            </w:r>
          </w:p>
        </w:tc>
        <w:tc>
          <w:tcPr>
            <w:tcW w:w="279" w:type="dxa"/>
            <w:tcBorders>
              <w:left w:val="nil"/>
              <w:bottom w:val="nil"/>
              <w:right w:val="nil"/>
            </w:tcBorders>
            <w:vAlign w:val="bottom"/>
          </w:tcPr>
          <w:p w14:paraId="6AD6C84F" w14:textId="77777777" w:rsidR="008E0A19" w:rsidRPr="00BD49E4" w:rsidRDefault="008E0A19" w:rsidP="008E0A19">
            <w:pPr>
              <w:autoSpaceDE w:val="0"/>
              <w:autoSpaceDN w:val="0"/>
              <w:adjustRightInd w:val="0"/>
              <w:spacing w:before="0" w:after="0"/>
              <w:jc w:val="center"/>
              <w:rPr>
                <w:rFonts w:cstheme="minorHAnsi"/>
                <w:b/>
                <w:bCs/>
                <w:color w:val="000000" w:themeColor="text1"/>
                <w:sz w:val="18"/>
                <w:szCs w:val="18"/>
              </w:rPr>
            </w:pPr>
          </w:p>
        </w:tc>
        <w:tc>
          <w:tcPr>
            <w:tcW w:w="948" w:type="dxa"/>
            <w:tcBorders>
              <w:left w:val="nil"/>
              <w:bottom w:val="nil"/>
              <w:right w:val="nil"/>
            </w:tcBorders>
            <w:vAlign w:val="bottom"/>
          </w:tcPr>
          <w:p w14:paraId="4CCF820C"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4FBCF03B"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948" w:type="dxa"/>
            <w:tcBorders>
              <w:left w:val="nil"/>
              <w:bottom w:val="nil"/>
              <w:right w:val="nil"/>
            </w:tcBorders>
            <w:vAlign w:val="bottom"/>
          </w:tcPr>
          <w:p w14:paraId="1E58FA87"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568FC085"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1308" w:type="dxa"/>
            <w:tcBorders>
              <w:left w:val="nil"/>
              <w:bottom w:val="nil"/>
              <w:right w:val="nil"/>
            </w:tcBorders>
            <w:vAlign w:val="bottom"/>
          </w:tcPr>
          <w:p w14:paraId="63D97FFD" w14:textId="77777777" w:rsidR="008E0A19" w:rsidRPr="006669FF" w:rsidRDefault="00B059BA" w:rsidP="004856E9">
            <w:pPr>
              <w:autoSpaceDE w:val="0"/>
              <w:autoSpaceDN w:val="0"/>
              <w:adjustRightInd w:val="0"/>
              <w:spacing w:before="0" w:after="0"/>
              <w:ind w:right="-109"/>
              <w:jc w:val="right"/>
              <w:rPr>
                <w:rFonts w:cstheme="minorHAnsi"/>
                <w:color w:val="000000" w:themeColor="text1"/>
                <w:sz w:val="18"/>
                <w:szCs w:val="18"/>
              </w:rPr>
            </w:pPr>
            <w:r>
              <w:rPr>
                <w:rFonts w:cstheme="minorHAnsi"/>
                <w:color w:val="000000" w:themeColor="text1"/>
                <w:sz w:val="18"/>
                <w:szCs w:val="18"/>
              </w:rPr>
              <w:t>(18)</w:t>
            </w:r>
          </w:p>
        </w:tc>
        <w:tc>
          <w:tcPr>
            <w:tcW w:w="437" w:type="dxa"/>
            <w:tcBorders>
              <w:left w:val="nil"/>
              <w:bottom w:val="nil"/>
              <w:right w:val="nil"/>
            </w:tcBorders>
          </w:tcPr>
          <w:p w14:paraId="2A0FE64D"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c>
          <w:tcPr>
            <w:tcW w:w="1264" w:type="dxa"/>
            <w:tcBorders>
              <w:left w:val="nil"/>
              <w:bottom w:val="single" w:sz="4" w:space="0" w:color="auto"/>
              <w:right w:val="nil"/>
            </w:tcBorders>
            <w:vAlign w:val="bottom"/>
          </w:tcPr>
          <w:p w14:paraId="3F02E633" w14:textId="77777777" w:rsidR="008E0A19" w:rsidRPr="00BD49E4" w:rsidRDefault="008E0A19" w:rsidP="008E0A19">
            <w:pPr>
              <w:autoSpaceDE w:val="0"/>
              <w:autoSpaceDN w:val="0"/>
              <w:adjustRightInd w:val="0"/>
              <w:spacing w:before="0" w:after="0"/>
              <w:jc w:val="center"/>
              <w:rPr>
                <w:rFonts w:cstheme="minorHAnsi"/>
                <w:b/>
                <w:bCs/>
                <w:color w:val="000000" w:themeColor="text1"/>
                <w:sz w:val="18"/>
                <w:szCs w:val="18"/>
              </w:rPr>
            </w:pPr>
            <w:r w:rsidRPr="006669FF">
              <w:rPr>
                <w:rFonts w:cstheme="minorHAnsi"/>
                <w:color w:val="000000" w:themeColor="text1"/>
                <w:sz w:val="18"/>
                <w:szCs w:val="18"/>
              </w:rPr>
              <w:t xml:space="preserve">             (292)</w:t>
            </w:r>
          </w:p>
        </w:tc>
        <w:tc>
          <w:tcPr>
            <w:tcW w:w="316" w:type="dxa"/>
            <w:tcBorders>
              <w:left w:val="nil"/>
              <w:bottom w:val="nil"/>
              <w:right w:val="nil"/>
            </w:tcBorders>
            <w:vAlign w:val="bottom"/>
          </w:tcPr>
          <w:p w14:paraId="6D45FE47" w14:textId="77777777" w:rsidR="008E0A19" w:rsidRPr="00BD49E4" w:rsidRDefault="008E0A19" w:rsidP="008E0A19">
            <w:pPr>
              <w:autoSpaceDE w:val="0"/>
              <w:autoSpaceDN w:val="0"/>
              <w:adjustRightInd w:val="0"/>
              <w:spacing w:before="0" w:after="0"/>
              <w:jc w:val="right"/>
              <w:rPr>
                <w:rFonts w:cstheme="minorHAnsi"/>
                <w:b/>
                <w:bCs/>
                <w:color w:val="000000" w:themeColor="text1"/>
                <w:sz w:val="18"/>
                <w:szCs w:val="18"/>
              </w:rPr>
            </w:pPr>
          </w:p>
        </w:tc>
      </w:tr>
      <w:tr w:rsidR="008E0A19" w:rsidRPr="00BD49E4" w14:paraId="77C31C1E" w14:textId="77777777" w:rsidTr="00AC052C">
        <w:trPr>
          <w:trHeight w:val="264"/>
        </w:trPr>
        <w:tc>
          <w:tcPr>
            <w:tcW w:w="2689" w:type="dxa"/>
            <w:gridSpan w:val="3"/>
            <w:tcBorders>
              <w:top w:val="nil"/>
              <w:left w:val="nil"/>
              <w:bottom w:val="nil"/>
              <w:right w:val="nil"/>
            </w:tcBorders>
            <w:vAlign w:val="bottom"/>
          </w:tcPr>
          <w:p w14:paraId="6D61E562" w14:textId="77777777" w:rsidR="008E0A19" w:rsidRPr="00BD49E4" w:rsidRDefault="008E0A19" w:rsidP="008E0A19">
            <w:pPr>
              <w:autoSpaceDE w:val="0"/>
              <w:autoSpaceDN w:val="0"/>
              <w:adjustRightInd w:val="0"/>
              <w:spacing w:before="0" w:after="0"/>
              <w:rPr>
                <w:rFonts w:cstheme="minorHAnsi"/>
                <w:color w:val="000000" w:themeColor="text1"/>
                <w:sz w:val="18"/>
                <w:szCs w:val="18"/>
              </w:rPr>
            </w:pPr>
            <w:r>
              <w:rPr>
                <w:rFonts w:cstheme="minorHAnsi"/>
                <w:b/>
                <w:color w:val="000000" w:themeColor="text1"/>
                <w:sz w:val="18"/>
                <w:szCs w:val="18"/>
              </w:rPr>
              <w:t>Loss</w:t>
            </w:r>
            <w:r w:rsidRPr="00BD49E4">
              <w:rPr>
                <w:rFonts w:cstheme="minorHAnsi"/>
                <w:b/>
                <w:color w:val="000000" w:themeColor="text1"/>
                <w:sz w:val="18"/>
                <w:szCs w:val="18"/>
              </w:rPr>
              <w:t xml:space="preserve"> before taxation</w:t>
            </w:r>
          </w:p>
        </w:tc>
        <w:tc>
          <w:tcPr>
            <w:tcW w:w="279" w:type="dxa"/>
            <w:tcBorders>
              <w:top w:val="nil"/>
              <w:left w:val="nil"/>
              <w:bottom w:val="nil"/>
              <w:right w:val="nil"/>
            </w:tcBorders>
            <w:vAlign w:val="bottom"/>
          </w:tcPr>
          <w:p w14:paraId="5FA9C30E" w14:textId="77777777" w:rsidR="008E0A19" w:rsidRPr="00BD49E4" w:rsidRDefault="008E0A19" w:rsidP="008E0A19">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0EACE401"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316" w:type="dxa"/>
            <w:tcBorders>
              <w:left w:val="nil"/>
              <w:right w:val="nil"/>
            </w:tcBorders>
          </w:tcPr>
          <w:p w14:paraId="19B3ADC4"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948" w:type="dxa"/>
            <w:tcBorders>
              <w:left w:val="nil"/>
              <w:right w:val="nil"/>
            </w:tcBorders>
            <w:vAlign w:val="bottom"/>
          </w:tcPr>
          <w:p w14:paraId="1D1E02E9"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23625BCB"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0F68489A" w14:textId="7DE865B4" w:rsidR="008E0A19" w:rsidRPr="00BD49E4" w:rsidRDefault="00B059BA" w:rsidP="00B059BA">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EF0AF1">
              <w:rPr>
                <w:rFonts w:cstheme="minorHAnsi"/>
                <w:color w:val="000000" w:themeColor="text1"/>
                <w:sz w:val="18"/>
                <w:szCs w:val="18"/>
              </w:rPr>
              <w:t>159,478</w:t>
            </w:r>
            <w:r>
              <w:rPr>
                <w:rFonts w:cstheme="minorHAnsi"/>
                <w:color w:val="000000" w:themeColor="text1"/>
                <w:sz w:val="18"/>
                <w:szCs w:val="18"/>
              </w:rPr>
              <w:t>)</w:t>
            </w:r>
          </w:p>
        </w:tc>
        <w:tc>
          <w:tcPr>
            <w:tcW w:w="437" w:type="dxa"/>
            <w:tcBorders>
              <w:left w:val="nil"/>
              <w:right w:val="nil"/>
            </w:tcBorders>
          </w:tcPr>
          <w:p w14:paraId="2EB5E4DC"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c>
          <w:tcPr>
            <w:tcW w:w="1264" w:type="dxa"/>
            <w:tcBorders>
              <w:top w:val="single" w:sz="4" w:space="0" w:color="auto"/>
              <w:left w:val="nil"/>
              <w:right w:val="nil"/>
            </w:tcBorders>
            <w:vAlign w:val="bottom"/>
          </w:tcPr>
          <w:p w14:paraId="13198625"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 xml:space="preserve">                  (172,760)</w:t>
            </w:r>
          </w:p>
        </w:tc>
        <w:tc>
          <w:tcPr>
            <w:tcW w:w="316" w:type="dxa"/>
            <w:tcBorders>
              <w:left w:val="nil"/>
              <w:right w:val="nil"/>
            </w:tcBorders>
            <w:vAlign w:val="bottom"/>
          </w:tcPr>
          <w:p w14:paraId="553BF216" w14:textId="77777777" w:rsidR="008E0A19" w:rsidRPr="00BD49E4" w:rsidRDefault="008E0A19" w:rsidP="008E0A19">
            <w:pPr>
              <w:autoSpaceDE w:val="0"/>
              <w:autoSpaceDN w:val="0"/>
              <w:adjustRightInd w:val="0"/>
              <w:spacing w:before="0" w:after="0"/>
              <w:jc w:val="right"/>
              <w:rPr>
                <w:rFonts w:cstheme="minorHAnsi"/>
                <w:color w:val="000000" w:themeColor="text1"/>
                <w:sz w:val="18"/>
                <w:szCs w:val="18"/>
              </w:rPr>
            </w:pPr>
          </w:p>
        </w:tc>
      </w:tr>
      <w:tr w:rsidR="00E922D3" w:rsidRPr="00BD49E4" w14:paraId="7EB31254" w14:textId="77777777" w:rsidTr="00AC052C">
        <w:trPr>
          <w:gridAfter w:val="11"/>
          <w:wAfter w:w="8505" w:type="dxa"/>
          <w:trHeight w:val="264"/>
        </w:trPr>
        <w:tc>
          <w:tcPr>
            <w:tcW w:w="316" w:type="dxa"/>
            <w:tcBorders>
              <w:left w:val="nil"/>
              <w:right w:val="nil"/>
            </w:tcBorders>
            <w:vAlign w:val="bottom"/>
          </w:tcPr>
          <w:p w14:paraId="131A9AD8" w14:textId="77777777" w:rsidR="00E922D3" w:rsidRPr="00BD49E4" w:rsidRDefault="00E922D3" w:rsidP="00CD1113">
            <w:pPr>
              <w:autoSpaceDE w:val="0"/>
              <w:autoSpaceDN w:val="0"/>
              <w:adjustRightInd w:val="0"/>
              <w:spacing w:before="0" w:after="0"/>
              <w:rPr>
                <w:rFonts w:cstheme="minorHAnsi"/>
                <w:color w:val="000000" w:themeColor="text1"/>
                <w:sz w:val="18"/>
                <w:szCs w:val="18"/>
              </w:rPr>
            </w:pPr>
          </w:p>
        </w:tc>
      </w:tr>
      <w:tr w:rsidR="00E922D3" w:rsidRPr="00BD49E4" w14:paraId="008ED133" w14:textId="77777777" w:rsidTr="00AC052C">
        <w:trPr>
          <w:trHeight w:val="264"/>
        </w:trPr>
        <w:tc>
          <w:tcPr>
            <w:tcW w:w="2689" w:type="dxa"/>
            <w:gridSpan w:val="3"/>
            <w:tcBorders>
              <w:top w:val="nil"/>
              <w:left w:val="nil"/>
              <w:bottom w:val="nil"/>
              <w:right w:val="nil"/>
            </w:tcBorders>
            <w:vAlign w:val="bottom"/>
          </w:tcPr>
          <w:p w14:paraId="36D313C2" w14:textId="77777777" w:rsidR="00E922D3" w:rsidRPr="00BD49E4" w:rsidRDefault="00E922D3" w:rsidP="00AF584C">
            <w:pPr>
              <w:autoSpaceDE w:val="0"/>
              <w:autoSpaceDN w:val="0"/>
              <w:adjustRightInd w:val="0"/>
              <w:spacing w:before="0" w:after="0"/>
              <w:rPr>
                <w:rFonts w:cstheme="minorHAnsi"/>
                <w:b/>
                <w:color w:val="000000" w:themeColor="text1"/>
                <w:sz w:val="18"/>
                <w:szCs w:val="18"/>
              </w:rPr>
            </w:pPr>
          </w:p>
        </w:tc>
        <w:tc>
          <w:tcPr>
            <w:tcW w:w="279" w:type="dxa"/>
            <w:tcBorders>
              <w:top w:val="nil"/>
              <w:left w:val="nil"/>
              <w:bottom w:val="nil"/>
              <w:right w:val="nil"/>
            </w:tcBorders>
            <w:vAlign w:val="bottom"/>
          </w:tcPr>
          <w:p w14:paraId="5AA9BB0A" w14:textId="77777777" w:rsidR="00E922D3" w:rsidRPr="00BD49E4" w:rsidRDefault="00E922D3"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3C794600"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316" w:type="dxa"/>
            <w:tcBorders>
              <w:left w:val="nil"/>
              <w:right w:val="nil"/>
            </w:tcBorders>
          </w:tcPr>
          <w:p w14:paraId="137F3FE6"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948" w:type="dxa"/>
            <w:tcBorders>
              <w:left w:val="nil"/>
              <w:right w:val="nil"/>
            </w:tcBorders>
            <w:vAlign w:val="bottom"/>
          </w:tcPr>
          <w:p w14:paraId="13C3227D"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400ED746"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1465654F" w14:textId="77777777" w:rsidR="00E922D3" w:rsidRDefault="00E922D3" w:rsidP="004856E9">
            <w:pPr>
              <w:autoSpaceDE w:val="0"/>
              <w:autoSpaceDN w:val="0"/>
              <w:adjustRightInd w:val="0"/>
              <w:spacing w:before="0" w:after="0"/>
              <w:jc w:val="right"/>
              <w:rPr>
                <w:rFonts w:cstheme="minorHAnsi"/>
                <w:color w:val="000000" w:themeColor="text1"/>
                <w:sz w:val="18"/>
                <w:szCs w:val="18"/>
              </w:rPr>
            </w:pPr>
          </w:p>
        </w:tc>
        <w:tc>
          <w:tcPr>
            <w:tcW w:w="437" w:type="dxa"/>
            <w:tcBorders>
              <w:left w:val="nil"/>
              <w:right w:val="nil"/>
            </w:tcBorders>
          </w:tcPr>
          <w:p w14:paraId="10EC491D"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single" w:sz="4" w:space="0" w:color="auto"/>
              <w:left w:val="nil"/>
              <w:right w:val="nil"/>
            </w:tcBorders>
            <w:vAlign w:val="bottom"/>
          </w:tcPr>
          <w:p w14:paraId="53BDA6F7" w14:textId="77777777" w:rsidR="00E922D3" w:rsidDel="00E922D3" w:rsidRDefault="00E922D3" w:rsidP="00CB13B7">
            <w:pPr>
              <w:autoSpaceDE w:val="0"/>
              <w:autoSpaceDN w:val="0"/>
              <w:adjustRightInd w:val="0"/>
              <w:spacing w:before="0" w:after="0"/>
              <w:jc w:val="center"/>
              <w:rPr>
                <w:rFonts w:cstheme="minorHAnsi"/>
                <w:color w:val="000000" w:themeColor="text1"/>
                <w:sz w:val="18"/>
                <w:szCs w:val="18"/>
              </w:rPr>
            </w:pPr>
          </w:p>
        </w:tc>
        <w:tc>
          <w:tcPr>
            <w:tcW w:w="316" w:type="dxa"/>
            <w:tcBorders>
              <w:left w:val="nil"/>
              <w:right w:val="nil"/>
            </w:tcBorders>
            <w:vAlign w:val="bottom"/>
          </w:tcPr>
          <w:p w14:paraId="2DBB2BDF"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r>
      <w:tr w:rsidR="00AF584C" w:rsidRPr="00BD49E4" w14:paraId="451ABEB5" w14:textId="77777777" w:rsidTr="003D2A29">
        <w:trPr>
          <w:trHeight w:val="264"/>
        </w:trPr>
        <w:tc>
          <w:tcPr>
            <w:tcW w:w="2689" w:type="dxa"/>
            <w:gridSpan w:val="3"/>
            <w:tcBorders>
              <w:top w:val="nil"/>
              <w:left w:val="nil"/>
              <w:bottom w:val="nil"/>
              <w:right w:val="nil"/>
            </w:tcBorders>
            <w:vAlign w:val="bottom"/>
          </w:tcPr>
          <w:p w14:paraId="01FC3413" w14:textId="77777777" w:rsidR="00AF584C" w:rsidRPr="00BD49E4" w:rsidRDefault="00AF584C" w:rsidP="00AF584C">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Income tax</w:t>
            </w:r>
          </w:p>
        </w:tc>
        <w:tc>
          <w:tcPr>
            <w:tcW w:w="279" w:type="dxa"/>
            <w:tcBorders>
              <w:left w:val="nil"/>
              <w:bottom w:val="nil"/>
              <w:right w:val="nil"/>
            </w:tcBorders>
            <w:vAlign w:val="bottom"/>
          </w:tcPr>
          <w:p w14:paraId="43666644"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right w:val="nil"/>
            </w:tcBorders>
            <w:vAlign w:val="bottom"/>
          </w:tcPr>
          <w:p w14:paraId="4A6E07DE"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left w:val="nil"/>
              <w:right w:val="nil"/>
            </w:tcBorders>
          </w:tcPr>
          <w:p w14:paraId="7A30B3F9"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948" w:type="dxa"/>
            <w:tcBorders>
              <w:top w:val="nil"/>
              <w:left w:val="nil"/>
              <w:right w:val="nil"/>
            </w:tcBorders>
            <w:vAlign w:val="bottom"/>
          </w:tcPr>
          <w:p w14:paraId="39755FFA" w14:textId="77777777" w:rsidR="00AF584C" w:rsidRPr="00737882" w:rsidRDefault="0034334C" w:rsidP="00AF584C">
            <w:pPr>
              <w:autoSpaceDE w:val="0"/>
              <w:autoSpaceDN w:val="0"/>
              <w:adjustRightInd w:val="0"/>
              <w:spacing w:before="0" w:after="0"/>
              <w:jc w:val="right"/>
              <w:rPr>
                <w:rFonts w:cstheme="minorHAnsi"/>
                <w:b/>
                <w:bCs/>
                <w:color w:val="000000" w:themeColor="text1"/>
                <w:sz w:val="18"/>
                <w:szCs w:val="18"/>
              </w:rPr>
            </w:pPr>
            <w:r w:rsidRPr="00737882">
              <w:rPr>
                <w:rFonts w:cstheme="minorHAnsi"/>
                <w:b/>
                <w:bCs/>
                <w:color w:val="000000" w:themeColor="text1"/>
                <w:sz w:val="18"/>
                <w:szCs w:val="18"/>
              </w:rPr>
              <w:t>4</w:t>
            </w:r>
          </w:p>
        </w:tc>
        <w:tc>
          <w:tcPr>
            <w:tcW w:w="316" w:type="dxa"/>
            <w:tcBorders>
              <w:top w:val="nil"/>
              <w:left w:val="nil"/>
              <w:bottom w:val="nil"/>
              <w:right w:val="nil"/>
            </w:tcBorders>
          </w:tcPr>
          <w:p w14:paraId="66EFD1DC"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bottom w:val="single" w:sz="4" w:space="0" w:color="auto"/>
              <w:right w:val="nil"/>
            </w:tcBorders>
            <w:vAlign w:val="bottom"/>
          </w:tcPr>
          <w:p w14:paraId="1952CF2C" w14:textId="77777777" w:rsidR="00AF584C" w:rsidRPr="00BD49E4" w:rsidRDefault="00B059BA" w:rsidP="004856E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p>
        </w:tc>
        <w:tc>
          <w:tcPr>
            <w:tcW w:w="437" w:type="dxa"/>
            <w:tcBorders>
              <w:top w:val="nil"/>
              <w:left w:val="nil"/>
              <w:right w:val="nil"/>
            </w:tcBorders>
          </w:tcPr>
          <w:p w14:paraId="18E29431"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bottom w:val="single" w:sz="4" w:space="0" w:color="auto"/>
              <w:right w:val="nil"/>
            </w:tcBorders>
            <w:vAlign w:val="bottom"/>
          </w:tcPr>
          <w:p w14:paraId="475BE109" w14:textId="77777777" w:rsidR="00AF584C" w:rsidRPr="00BD49E4" w:rsidRDefault="00B41C72" w:rsidP="00CB13B7">
            <w:pPr>
              <w:autoSpaceDE w:val="0"/>
              <w:autoSpaceDN w:val="0"/>
              <w:adjustRightInd w:val="0"/>
              <w:spacing w:before="0" w:after="0"/>
              <w:jc w:val="center"/>
              <w:rPr>
                <w:rFonts w:cstheme="minorHAnsi"/>
                <w:color w:val="000000" w:themeColor="text1"/>
                <w:sz w:val="18"/>
                <w:szCs w:val="18"/>
              </w:rPr>
            </w:pPr>
            <w:r>
              <w:rPr>
                <w:rFonts w:cstheme="minorHAnsi"/>
                <w:color w:val="000000" w:themeColor="text1"/>
                <w:sz w:val="18"/>
                <w:szCs w:val="18"/>
              </w:rPr>
              <w:t xml:space="preserve">                     </w:t>
            </w:r>
            <w:r w:rsidR="00AF584C" w:rsidRPr="00BD49E4">
              <w:rPr>
                <w:rFonts w:cstheme="minorHAnsi"/>
                <w:color w:val="000000" w:themeColor="text1"/>
                <w:sz w:val="18"/>
                <w:szCs w:val="18"/>
              </w:rPr>
              <w:t>-</w:t>
            </w:r>
          </w:p>
        </w:tc>
        <w:tc>
          <w:tcPr>
            <w:tcW w:w="316" w:type="dxa"/>
            <w:tcBorders>
              <w:top w:val="nil"/>
              <w:left w:val="nil"/>
              <w:right w:val="nil"/>
            </w:tcBorders>
            <w:vAlign w:val="bottom"/>
          </w:tcPr>
          <w:p w14:paraId="2AD4E9D1"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8E0A19" w:rsidRPr="00BD49E4" w14:paraId="07CAB938" w14:textId="77777777" w:rsidTr="002967B1">
        <w:trPr>
          <w:trHeight w:val="423"/>
        </w:trPr>
        <w:tc>
          <w:tcPr>
            <w:tcW w:w="2689" w:type="dxa"/>
            <w:gridSpan w:val="3"/>
            <w:tcBorders>
              <w:top w:val="nil"/>
              <w:left w:val="nil"/>
              <w:bottom w:val="nil"/>
              <w:right w:val="nil"/>
            </w:tcBorders>
            <w:vAlign w:val="bottom"/>
          </w:tcPr>
          <w:p w14:paraId="2E13000B" w14:textId="77777777" w:rsidR="008E0A19" w:rsidRPr="00BD49E4" w:rsidRDefault="008E0A19" w:rsidP="008E0A19">
            <w:pPr>
              <w:autoSpaceDE w:val="0"/>
              <w:autoSpaceDN w:val="0"/>
              <w:adjustRightInd w:val="0"/>
              <w:spacing w:before="0" w:after="0"/>
              <w:rPr>
                <w:rFonts w:cstheme="minorHAnsi"/>
                <w:b/>
                <w:color w:val="000000" w:themeColor="text1"/>
                <w:sz w:val="18"/>
                <w:szCs w:val="18"/>
              </w:rPr>
            </w:pPr>
          </w:p>
          <w:p w14:paraId="29F57B1E" w14:textId="77777777" w:rsidR="008E0A19" w:rsidRPr="00BD49E4" w:rsidRDefault="008E0A19" w:rsidP="008E0A19">
            <w:pPr>
              <w:autoSpaceDE w:val="0"/>
              <w:autoSpaceDN w:val="0"/>
              <w:adjustRightInd w:val="0"/>
              <w:spacing w:before="0" w:after="0"/>
              <w:rPr>
                <w:rFonts w:cstheme="minorHAnsi"/>
                <w:b/>
                <w:color w:val="000000" w:themeColor="text1"/>
                <w:sz w:val="18"/>
                <w:szCs w:val="18"/>
              </w:rPr>
            </w:pPr>
            <w:r w:rsidRPr="00BD49E4">
              <w:rPr>
                <w:rFonts w:cstheme="minorHAnsi"/>
                <w:b/>
                <w:color w:val="000000" w:themeColor="text1"/>
                <w:sz w:val="18"/>
                <w:szCs w:val="18"/>
              </w:rPr>
              <w:t>Total comprehensive loss</w:t>
            </w:r>
          </w:p>
          <w:p w14:paraId="4980EE90" w14:textId="77777777" w:rsidR="008E0A19" w:rsidRPr="00BD49E4" w:rsidRDefault="008E0A19" w:rsidP="008E0A19">
            <w:pPr>
              <w:autoSpaceDE w:val="0"/>
              <w:autoSpaceDN w:val="0"/>
              <w:adjustRightInd w:val="0"/>
              <w:spacing w:before="0" w:after="0"/>
              <w:rPr>
                <w:rFonts w:cstheme="minorHAnsi"/>
                <w:b/>
                <w:color w:val="000000" w:themeColor="text1"/>
                <w:sz w:val="18"/>
                <w:szCs w:val="18"/>
              </w:rPr>
            </w:pPr>
            <w:r w:rsidRPr="00BD49E4">
              <w:rPr>
                <w:rFonts w:cstheme="minorHAnsi"/>
                <w:b/>
                <w:color w:val="000000" w:themeColor="text1"/>
                <w:sz w:val="18"/>
                <w:szCs w:val="18"/>
              </w:rPr>
              <w:t xml:space="preserve">for the year </w:t>
            </w:r>
          </w:p>
        </w:tc>
        <w:tc>
          <w:tcPr>
            <w:tcW w:w="279" w:type="dxa"/>
            <w:tcBorders>
              <w:left w:val="nil"/>
              <w:right w:val="nil"/>
            </w:tcBorders>
            <w:vAlign w:val="bottom"/>
          </w:tcPr>
          <w:p w14:paraId="724CDAC8" w14:textId="77777777" w:rsidR="008E0A19" w:rsidRPr="00BD49E4" w:rsidRDefault="008E0A19" w:rsidP="008E0A19">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09722E02"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7C5BC63C"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948" w:type="dxa"/>
            <w:tcBorders>
              <w:left w:val="nil"/>
              <w:right w:val="nil"/>
            </w:tcBorders>
            <w:vAlign w:val="bottom"/>
          </w:tcPr>
          <w:p w14:paraId="67D0DEE2" w14:textId="77777777" w:rsidR="008E0A19" w:rsidRPr="0034334C"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top w:val="nil"/>
              <w:left w:val="nil"/>
              <w:bottom w:val="nil"/>
              <w:right w:val="nil"/>
            </w:tcBorders>
          </w:tcPr>
          <w:p w14:paraId="5303844E"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308" w:type="dxa"/>
            <w:tcBorders>
              <w:top w:val="single" w:sz="4" w:space="0" w:color="auto"/>
              <w:left w:val="nil"/>
              <w:bottom w:val="single" w:sz="4" w:space="0" w:color="auto"/>
              <w:right w:val="nil"/>
            </w:tcBorders>
            <w:vAlign w:val="bottom"/>
          </w:tcPr>
          <w:p w14:paraId="48F77602" w14:textId="5792A546" w:rsidR="008E0A19" w:rsidRPr="00BD49E4" w:rsidRDefault="00B059BA" w:rsidP="00B059BA">
            <w:pPr>
              <w:autoSpaceDE w:val="0"/>
              <w:autoSpaceDN w:val="0"/>
              <w:adjustRightInd w:val="0"/>
              <w:spacing w:before="0" w:after="0"/>
              <w:jc w:val="right"/>
              <w:rPr>
                <w:rFonts w:cstheme="minorHAnsi"/>
                <w:b/>
                <w:color w:val="000000" w:themeColor="text1"/>
                <w:sz w:val="18"/>
                <w:szCs w:val="18"/>
              </w:rPr>
            </w:pPr>
            <w:r>
              <w:rPr>
                <w:rFonts w:cstheme="minorHAnsi"/>
                <w:b/>
                <w:color w:val="000000" w:themeColor="text1"/>
                <w:sz w:val="18"/>
                <w:szCs w:val="18"/>
              </w:rPr>
              <w:t>(</w:t>
            </w:r>
            <w:r w:rsidR="00EF0AF1">
              <w:rPr>
                <w:rFonts w:cstheme="minorHAnsi"/>
                <w:b/>
                <w:color w:val="000000" w:themeColor="text1"/>
                <w:sz w:val="18"/>
                <w:szCs w:val="18"/>
              </w:rPr>
              <w:t>159,478</w:t>
            </w:r>
            <w:r>
              <w:rPr>
                <w:rFonts w:cstheme="minorHAnsi"/>
                <w:b/>
                <w:color w:val="000000" w:themeColor="text1"/>
                <w:sz w:val="18"/>
                <w:szCs w:val="18"/>
              </w:rPr>
              <w:t>)</w:t>
            </w:r>
          </w:p>
        </w:tc>
        <w:tc>
          <w:tcPr>
            <w:tcW w:w="437" w:type="dxa"/>
            <w:tcBorders>
              <w:left w:val="nil"/>
              <w:right w:val="nil"/>
            </w:tcBorders>
          </w:tcPr>
          <w:p w14:paraId="5877041D"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264" w:type="dxa"/>
            <w:tcBorders>
              <w:top w:val="single" w:sz="4" w:space="0" w:color="auto"/>
              <w:left w:val="nil"/>
              <w:bottom w:val="single" w:sz="4" w:space="0" w:color="auto"/>
              <w:right w:val="nil"/>
            </w:tcBorders>
            <w:vAlign w:val="bottom"/>
          </w:tcPr>
          <w:p w14:paraId="68E5C11F"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w:t>
            </w:r>
            <w:r>
              <w:rPr>
                <w:rFonts w:cstheme="minorHAnsi"/>
                <w:b/>
                <w:color w:val="000000" w:themeColor="text1"/>
                <w:sz w:val="18"/>
                <w:szCs w:val="18"/>
              </w:rPr>
              <w:t>172,760</w:t>
            </w:r>
            <w:r w:rsidRPr="00BD49E4">
              <w:rPr>
                <w:rFonts w:cstheme="minorHAnsi"/>
                <w:b/>
                <w:color w:val="000000" w:themeColor="text1"/>
                <w:sz w:val="18"/>
                <w:szCs w:val="18"/>
              </w:rPr>
              <w:t>)</w:t>
            </w:r>
          </w:p>
        </w:tc>
        <w:tc>
          <w:tcPr>
            <w:tcW w:w="316" w:type="dxa"/>
            <w:tcBorders>
              <w:left w:val="nil"/>
              <w:right w:val="nil"/>
            </w:tcBorders>
            <w:vAlign w:val="bottom"/>
          </w:tcPr>
          <w:p w14:paraId="512EB460"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r>
      <w:tr w:rsidR="008E0A19" w:rsidRPr="00BD49E4" w14:paraId="47EBB16B" w14:textId="77777777" w:rsidTr="002967B1">
        <w:trPr>
          <w:trHeight w:val="423"/>
        </w:trPr>
        <w:tc>
          <w:tcPr>
            <w:tcW w:w="2689" w:type="dxa"/>
            <w:gridSpan w:val="3"/>
            <w:tcBorders>
              <w:top w:val="nil"/>
              <w:left w:val="nil"/>
              <w:right w:val="nil"/>
            </w:tcBorders>
            <w:vAlign w:val="bottom"/>
          </w:tcPr>
          <w:p w14:paraId="073053DE" w14:textId="77777777" w:rsidR="008E0A19" w:rsidRPr="00BD49E4" w:rsidRDefault="008E0A19" w:rsidP="008E0A19">
            <w:pPr>
              <w:autoSpaceDE w:val="0"/>
              <w:autoSpaceDN w:val="0"/>
              <w:adjustRightInd w:val="0"/>
              <w:spacing w:before="0" w:after="0"/>
              <w:rPr>
                <w:rFonts w:cstheme="minorHAnsi"/>
                <w:b/>
                <w:color w:val="000000" w:themeColor="text1"/>
                <w:sz w:val="18"/>
                <w:szCs w:val="18"/>
              </w:rPr>
            </w:pPr>
          </w:p>
        </w:tc>
        <w:tc>
          <w:tcPr>
            <w:tcW w:w="279" w:type="dxa"/>
            <w:tcBorders>
              <w:left w:val="nil"/>
              <w:right w:val="nil"/>
            </w:tcBorders>
            <w:vAlign w:val="bottom"/>
          </w:tcPr>
          <w:p w14:paraId="640E19CD" w14:textId="77777777" w:rsidR="008E0A19" w:rsidRPr="00BD49E4" w:rsidRDefault="008E0A19" w:rsidP="008E0A19">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0C00C97C"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153E3EC4"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948" w:type="dxa"/>
            <w:tcBorders>
              <w:left w:val="nil"/>
              <w:right w:val="nil"/>
            </w:tcBorders>
            <w:vAlign w:val="bottom"/>
          </w:tcPr>
          <w:p w14:paraId="0FFA98D5" w14:textId="77777777" w:rsidR="008E0A19" w:rsidRPr="0034334C"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top w:val="nil"/>
              <w:left w:val="nil"/>
              <w:right w:val="nil"/>
            </w:tcBorders>
          </w:tcPr>
          <w:p w14:paraId="1BC5DCA0"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308" w:type="dxa"/>
            <w:tcBorders>
              <w:top w:val="single" w:sz="4" w:space="0" w:color="auto"/>
              <w:left w:val="nil"/>
              <w:right w:val="nil"/>
            </w:tcBorders>
            <w:vAlign w:val="bottom"/>
          </w:tcPr>
          <w:p w14:paraId="10ADB747"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437" w:type="dxa"/>
            <w:tcBorders>
              <w:left w:val="nil"/>
              <w:right w:val="nil"/>
            </w:tcBorders>
          </w:tcPr>
          <w:p w14:paraId="735CC767"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264" w:type="dxa"/>
            <w:tcBorders>
              <w:top w:val="single" w:sz="4" w:space="0" w:color="auto"/>
              <w:left w:val="nil"/>
              <w:right w:val="nil"/>
            </w:tcBorders>
            <w:vAlign w:val="bottom"/>
          </w:tcPr>
          <w:p w14:paraId="495AA57E"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vAlign w:val="bottom"/>
          </w:tcPr>
          <w:p w14:paraId="358B9BFB"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r>
      <w:tr w:rsidR="008E0A19" w:rsidRPr="00BD49E4" w14:paraId="074DF8A8" w14:textId="77777777" w:rsidTr="002967B1">
        <w:trPr>
          <w:trHeight w:val="423"/>
        </w:trPr>
        <w:tc>
          <w:tcPr>
            <w:tcW w:w="2689" w:type="dxa"/>
            <w:gridSpan w:val="3"/>
            <w:tcBorders>
              <w:left w:val="nil"/>
              <w:right w:val="nil"/>
            </w:tcBorders>
            <w:vAlign w:val="bottom"/>
          </w:tcPr>
          <w:p w14:paraId="3802296B" w14:textId="77777777" w:rsidR="008E0A19" w:rsidRPr="002967B1" w:rsidRDefault="008E0A19" w:rsidP="008E0A19">
            <w:pPr>
              <w:autoSpaceDE w:val="0"/>
              <w:autoSpaceDN w:val="0"/>
              <w:adjustRightInd w:val="0"/>
              <w:spacing w:before="0" w:after="0"/>
              <w:rPr>
                <w:rFonts w:cstheme="minorHAnsi"/>
                <w:color w:val="000000" w:themeColor="text1"/>
                <w:sz w:val="18"/>
                <w:szCs w:val="18"/>
              </w:rPr>
            </w:pPr>
            <w:r w:rsidRPr="002967B1">
              <w:rPr>
                <w:rFonts w:cstheme="minorHAnsi"/>
                <w:color w:val="000000" w:themeColor="text1"/>
                <w:sz w:val="18"/>
                <w:szCs w:val="18"/>
              </w:rPr>
              <w:t>Loss per share</w:t>
            </w:r>
          </w:p>
        </w:tc>
        <w:tc>
          <w:tcPr>
            <w:tcW w:w="279" w:type="dxa"/>
            <w:tcBorders>
              <w:left w:val="nil"/>
              <w:right w:val="nil"/>
            </w:tcBorders>
            <w:vAlign w:val="bottom"/>
          </w:tcPr>
          <w:p w14:paraId="45FBB5A7" w14:textId="77777777" w:rsidR="008E0A19" w:rsidRPr="00BD49E4" w:rsidRDefault="008E0A19" w:rsidP="008E0A19">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6474A1F4"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6976091F"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948" w:type="dxa"/>
            <w:tcBorders>
              <w:left w:val="nil"/>
              <w:right w:val="nil"/>
            </w:tcBorders>
            <w:vAlign w:val="bottom"/>
          </w:tcPr>
          <w:p w14:paraId="7048D149" w14:textId="77777777" w:rsidR="008E0A19" w:rsidRPr="0034334C"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3491D45B"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308" w:type="dxa"/>
            <w:tcBorders>
              <w:left w:val="nil"/>
              <w:right w:val="nil"/>
            </w:tcBorders>
            <w:vAlign w:val="bottom"/>
          </w:tcPr>
          <w:p w14:paraId="598C8431"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437" w:type="dxa"/>
            <w:tcBorders>
              <w:left w:val="nil"/>
              <w:right w:val="nil"/>
            </w:tcBorders>
          </w:tcPr>
          <w:p w14:paraId="7EB84388"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264" w:type="dxa"/>
            <w:tcBorders>
              <w:left w:val="nil"/>
              <w:right w:val="nil"/>
            </w:tcBorders>
            <w:vAlign w:val="bottom"/>
          </w:tcPr>
          <w:p w14:paraId="7E03C2A5"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vAlign w:val="bottom"/>
          </w:tcPr>
          <w:p w14:paraId="714F3916"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r>
      <w:tr w:rsidR="008E0A19" w:rsidRPr="00BD49E4" w14:paraId="245CB7FE" w14:textId="77777777" w:rsidTr="00772231">
        <w:trPr>
          <w:trHeight w:val="423"/>
        </w:trPr>
        <w:tc>
          <w:tcPr>
            <w:tcW w:w="4232" w:type="dxa"/>
            <w:gridSpan w:val="6"/>
            <w:tcBorders>
              <w:left w:val="nil"/>
              <w:right w:val="nil"/>
            </w:tcBorders>
            <w:vAlign w:val="bottom"/>
          </w:tcPr>
          <w:p w14:paraId="5548FBA7" w14:textId="77777777" w:rsidR="008E0A19" w:rsidRPr="00BD49E4" w:rsidRDefault="008E0A19" w:rsidP="008E0A19">
            <w:pPr>
              <w:autoSpaceDE w:val="0"/>
              <w:autoSpaceDN w:val="0"/>
              <w:adjustRightInd w:val="0"/>
              <w:spacing w:before="0" w:after="0"/>
              <w:jc w:val="left"/>
              <w:rPr>
                <w:rFonts w:cstheme="minorHAnsi"/>
                <w:b/>
                <w:color w:val="000000" w:themeColor="text1"/>
                <w:sz w:val="18"/>
                <w:szCs w:val="18"/>
              </w:rPr>
            </w:pPr>
            <w:r>
              <w:rPr>
                <w:rFonts w:cstheme="minorHAnsi"/>
                <w:b/>
                <w:color w:val="000000" w:themeColor="text1"/>
                <w:sz w:val="18"/>
                <w:szCs w:val="18"/>
              </w:rPr>
              <w:t>Basic and diluted (pence per share)</w:t>
            </w:r>
          </w:p>
        </w:tc>
        <w:tc>
          <w:tcPr>
            <w:tcW w:w="948" w:type="dxa"/>
            <w:tcBorders>
              <w:left w:val="nil"/>
              <w:right w:val="nil"/>
            </w:tcBorders>
            <w:vAlign w:val="bottom"/>
          </w:tcPr>
          <w:p w14:paraId="6BEB1F77" w14:textId="77777777" w:rsidR="008E0A19" w:rsidRPr="0034334C" w:rsidRDefault="008E0A19" w:rsidP="008E0A19">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3623045A"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308" w:type="dxa"/>
            <w:tcBorders>
              <w:left w:val="nil"/>
              <w:right w:val="nil"/>
            </w:tcBorders>
            <w:vAlign w:val="bottom"/>
          </w:tcPr>
          <w:p w14:paraId="786ACEBA" w14:textId="2FDB4413" w:rsidR="008E0A19" w:rsidRPr="00BD49E4" w:rsidRDefault="00B059BA" w:rsidP="008E0A19">
            <w:pPr>
              <w:autoSpaceDE w:val="0"/>
              <w:autoSpaceDN w:val="0"/>
              <w:adjustRightInd w:val="0"/>
              <w:spacing w:before="0" w:after="0"/>
              <w:jc w:val="right"/>
              <w:rPr>
                <w:rFonts w:cstheme="minorHAnsi"/>
                <w:b/>
                <w:color w:val="000000" w:themeColor="text1"/>
                <w:sz w:val="18"/>
                <w:szCs w:val="18"/>
              </w:rPr>
            </w:pPr>
            <w:r>
              <w:rPr>
                <w:rFonts w:cstheme="minorHAnsi"/>
                <w:b/>
                <w:color w:val="000000" w:themeColor="text1"/>
                <w:sz w:val="18"/>
                <w:szCs w:val="18"/>
              </w:rPr>
              <w:t>(0.</w:t>
            </w:r>
            <w:r w:rsidR="00554E67">
              <w:rPr>
                <w:rFonts w:cstheme="minorHAnsi"/>
                <w:b/>
                <w:color w:val="000000" w:themeColor="text1"/>
                <w:sz w:val="18"/>
                <w:szCs w:val="18"/>
              </w:rPr>
              <w:t>5</w:t>
            </w:r>
            <w:r w:rsidR="00EF0AF1">
              <w:rPr>
                <w:rFonts w:cstheme="minorHAnsi"/>
                <w:b/>
                <w:color w:val="000000" w:themeColor="text1"/>
                <w:sz w:val="18"/>
                <w:szCs w:val="18"/>
              </w:rPr>
              <w:t>0</w:t>
            </w:r>
            <w:r>
              <w:rPr>
                <w:rFonts w:cstheme="minorHAnsi"/>
                <w:b/>
                <w:color w:val="000000" w:themeColor="text1"/>
                <w:sz w:val="18"/>
                <w:szCs w:val="18"/>
              </w:rPr>
              <w:t>)</w:t>
            </w:r>
          </w:p>
        </w:tc>
        <w:tc>
          <w:tcPr>
            <w:tcW w:w="437" w:type="dxa"/>
            <w:tcBorders>
              <w:left w:val="nil"/>
              <w:right w:val="nil"/>
            </w:tcBorders>
          </w:tcPr>
          <w:p w14:paraId="3489B433"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c>
          <w:tcPr>
            <w:tcW w:w="1264" w:type="dxa"/>
            <w:tcBorders>
              <w:left w:val="nil"/>
              <w:right w:val="nil"/>
            </w:tcBorders>
            <w:vAlign w:val="bottom"/>
          </w:tcPr>
          <w:p w14:paraId="21D2E178"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r>
              <w:rPr>
                <w:rFonts w:cstheme="minorHAnsi"/>
                <w:b/>
                <w:color w:val="000000" w:themeColor="text1"/>
                <w:sz w:val="18"/>
                <w:szCs w:val="18"/>
              </w:rPr>
              <w:t>(0.54)</w:t>
            </w:r>
          </w:p>
        </w:tc>
        <w:tc>
          <w:tcPr>
            <w:tcW w:w="316" w:type="dxa"/>
            <w:tcBorders>
              <w:left w:val="nil"/>
              <w:right w:val="nil"/>
            </w:tcBorders>
            <w:vAlign w:val="bottom"/>
          </w:tcPr>
          <w:p w14:paraId="32208360" w14:textId="77777777" w:rsidR="008E0A19" w:rsidRPr="00BD49E4" w:rsidRDefault="008E0A19" w:rsidP="008E0A19">
            <w:pPr>
              <w:autoSpaceDE w:val="0"/>
              <w:autoSpaceDN w:val="0"/>
              <w:adjustRightInd w:val="0"/>
              <w:spacing w:before="0" w:after="0"/>
              <w:jc w:val="right"/>
              <w:rPr>
                <w:rFonts w:cstheme="minorHAnsi"/>
                <w:b/>
                <w:color w:val="000000" w:themeColor="text1"/>
                <w:sz w:val="18"/>
                <w:szCs w:val="18"/>
              </w:rPr>
            </w:pPr>
          </w:p>
        </w:tc>
      </w:tr>
    </w:tbl>
    <w:p w14:paraId="140B5502" w14:textId="77777777" w:rsidR="00AF584C" w:rsidRPr="00BD49E4" w:rsidRDefault="00AF584C" w:rsidP="00AF584C">
      <w:pPr>
        <w:rPr>
          <w:rFonts w:cstheme="minorHAnsi"/>
          <w:b/>
          <w:sz w:val="18"/>
          <w:szCs w:val="18"/>
          <w:lang w:eastAsia="en-GB"/>
        </w:rPr>
      </w:pPr>
    </w:p>
    <w:p w14:paraId="6292E8F0" w14:textId="77777777" w:rsidR="00761544" w:rsidRPr="00720743" w:rsidRDefault="00761544" w:rsidP="00332D3B">
      <w:pPr>
        <w:spacing w:after="0"/>
        <w:ind w:firstLine="142"/>
        <w:rPr>
          <w:rFonts w:cstheme="minorHAnsi"/>
          <w:sz w:val="18"/>
          <w:szCs w:val="18"/>
        </w:rPr>
      </w:pPr>
      <w:r w:rsidRPr="00720743">
        <w:rPr>
          <w:rFonts w:cstheme="minorHAnsi"/>
          <w:sz w:val="18"/>
          <w:szCs w:val="18"/>
        </w:rPr>
        <w:t xml:space="preserve">The notes </w:t>
      </w:r>
      <w:r w:rsidRPr="00720743">
        <w:rPr>
          <w:rFonts w:eastAsia="MS Mincho" w:cstheme="minorHAnsi"/>
          <w:bCs/>
          <w:color w:val="000000" w:themeColor="text1"/>
          <w:sz w:val="18"/>
          <w:szCs w:val="18"/>
          <w:lang w:val="en-US" w:eastAsia="zh-TW"/>
        </w:rPr>
        <w:t>to the financial statements form an integral part of these financial statements.</w:t>
      </w:r>
    </w:p>
    <w:p w14:paraId="11C8D704" w14:textId="77777777" w:rsidR="00AF584C" w:rsidRDefault="00AF584C" w:rsidP="00230970">
      <w:pPr>
        <w:rPr>
          <w:rFonts w:cs="Arial"/>
          <w:b/>
          <w:sz w:val="18"/>
          <w:szCs w:val="18"/>
          <w:lang w:eastAsia="en-GB"/>
        </w:rPr>
      </w:pPr>
    </w:p>
    <w:p w14:paraId="60ED6B26" w14:textId="77777777" w:rsidR="00AF584C" w:rsidRDefault="00AF584C" w:rsidP="00230970">
      <w:pPr>
        <w:rPr>
          <w:rFonts w:cs="Arial"/>
          <w:b/>
          <w:sz w:val="18"/>
          <w:szCs w:val="18"/>
          <w:lang w:eastAsia="en-GB"/>
        </w:rPr>
      </w:pPr>
    </w:p>
    <w:p w14:paraId="0F348193" w14:textId="77777777" w:rsidR="00AF584C" w:rsidRDefault="00AF584C" w:rsidP="00230970">
      <w:pPr>
        <w:rPr>
          <w:rFonts w:cs="Arial"/>
          <w:b/>
          <w:sz w:val="18"/>
          <w:szCs w:val="18"/>
          <w:lang w:eastAsia="en-GB"/>
        </w:rPr>
      </w:pPr>
    </w:p>
    <w:p w14:paraId="6C5BA60A" w14:textId="77777777" w:rsidR="00AF584C" w:rsidRDefault="00AF584C" w:rsidP="00230970">
      <w:pPr>
        <w:rPr>
          <w:rFonts w:cs="Arial"/>
          <w:b/>
          <w:sz w:val="18"/>
          <w:szCs w:val="18"/>
          <w:lang w:eastAsia="en-GB"/>
        </w:rPr>
      </w:pPr>
    </w:p>
    <w:p w14:paraId="12FDABF8" w14:textId="77777777" w:rsidR="00AF584C" w:rsidRDefault="00AF584C" w:rsidP="00230970">
      <w:pPr>
        <w:rPr>
          <w:rFonts w:cs="Arial"/>
          <w:b/>
          <w:sz w:val="18"/>
          <w:szCs w:val="18"/>
          <w:lang w:eastAsia="en-GB"/>
        </w:rPr>
      </w:pPr>
    </w:p>
    <w:p w14:paraId="28BB16F2" w14:textId="77777777" w:rsidR="00AF584C" w:rsidRDefault="00AF584C" w:rsidP="00230970">
      <w:pPr>
        <w:rPr>
          <w:rFonts w:cs="Arial"/>
          <w:b/>
          <w:sz w:val="18"/>
          <w:szCs w:val="18"/>
          <w:lang w:eastAsia="en-GB"/>
        </w:rPr>
      </w:pPr>
    </w:p>
    <w:p w14:paraId="2C6C1131" w14:textId="77777777" w:rsidR="00AF584C" w:rsidRDefault="00AF584C" w:rsidP="00230970">
      <w:pPr>
        <w:rPr>
          <w:rFonts w:cs="Arial"/>
          <w:b/>
          <w:sz w:val="18"/>
          <w:szCs w:val="18"/>
          <w:lang w:eastAsia="en-GB"/>
        </w:rPr>
      </w:pPr>
    </w:p>
    <w:p w14:paraId="48DC3F05" w14:textId="77777777" w:rsidR="00AF584C" w:rsidRDefault="00AF584C" w:rsidP="00230970">
      <w:pPr>
        <w:rPr>
          <w:rFonts w:cs="Arial"/>
          <w:b/>
          <w:sz w:val="18"/>
          <w:szCs w:val="18"/>
          <w:lang w:eastAsia="en-GB"/>
        </w:rPr>
      </w:pPr>
    </w:p>
    <w:p w14:paraId="446A81D3" w14:textId="77777777" w:rsidR="00AF584C" w:rsidRDefault="00AF584C" w:rsidP="00230970">
      <w:pPr>
        <w:rPr>
          <w:rFonts w:cs="Arial"/>
          <w:b/>
          <w:sz w:val="18"/>
          <w:szCs w:val="18"/>
          <w:lang w:eastAsia="en-GB"/>
        </w:rPr>
      </w:pPr>
    </w:p>
    <w:p w14:paraId="450361C8" w14:textId="77777777" w:rsidR="00AF584C" w:rsidRDefault="00AF584C" w:rsidP="00230970">
      <w:pPr>
        <w:rPr>
          <w:rFonts w:cs="Arial"/>
          <w:b/>
          <w:sz w:val="18"/>
          <w:szCs w:val="18"/>
          <w:lang w:eastAsia="en-GB"/>
        </w:rPr>
      </w:pPr>
    </w:p>
    <w:p w14:paraId="2DCAFF3D" w14:textId="77777777" w:rsidR="00AF584C" w:rsidRDefault="00AF584C" w:rsidP="00230970">
      <w:pPr>
        <w:rPr>
          <w:rFonts w:cs="Arial"/>
          <w:b/>
          <w:sz w:val="18"/>
          <w:szCs w:val="18"/>
          <w:lang w:eastAsia="en-GB"/>
        </w:rPr>
      </w:pPr>
    </w:p>
    <w:p w14:paraId="5FAE88DF" w14:textId="77777777" w:rsidR="00AF584C" w:rsidRDefault="00AF584C" w:rsidP="00230970">
      <w:pPr>
        <w:rPr>
          <w:rFonts w:cs="Arial"/>
          <w:b/>
          <w:sz w:val="18"/>
          <w:szCs w:val="18"/>
          <w:lang w:eastAsia="en-GB"/>
        </w:rPr>
      </w:pPr>
    </w:p>
    <w:p w14:paraId="45C5B851" w14:textId="77777777" w:rsidR="00AF584C" w:rsidRDefault="00AF584C" w:rsidP="00230970">
      <w:pPr>
        <w:rPr>
          <w:rFonts w:cs="Arial"/>
          <w:b/>
          <w:sz w:val="18"/>
          <w:szCs w:val="18"/>
          <w:lang w:eastAsia="en-GB"/>
        </w:rPr>
      </w:pPr>
    </w:p>
    <w:p w14:paraId="4D3CC514" w14:textId="77777777" w:rsidR="00AF584C" w:rsidRDefault="00AF584C" w:rsidP="00230970">
      <w:pPr>
        <w:rPr>
          <w:rFonts w:cs="Arial"/>
          <w:b/>
          <w:sz w:val="18"/>
          <w:szCs w:val="18"/>
          <w:lang w:eastAsia="en-GB"/>
        </w:rPr>
      </w:pPr>
    </w:p>
    <w:p w14:paraId="2F617F50" w14:textId="77777777" w:rsidR="00AF584C" w:rsidRDefault="00AF584C" w:rsidP="00230970">
      <w:pPr>
        <w:rPr>
          <w:rFonts w:cs="Arial"/>
          <w:b/>
          <w:sz w:val="18"/>
          <w:szCs w:val="18"/>
          <w:lang w:eastAsia="en-GB"/>
        </w:rPr>
      </w:pPr>
    </w:p>
    <w:p w14:paraId="4A5DDAE2" w14:textId="77777777" w:rsidR="00F24BF9" w:rsidRDefault="00F24BF9" w:rsidP="00230970">
      <w:pPr>
        <w:rPr>
          <w:rFonts w:cs="Arial"/>
          <w:b/>
          <w:sz w:val="18"/>
          <w:szCs w:val="18"/>
          <w:lang w:eastAsia="en-GB"/>
        </w:rPr>
        <w:sectPr w:rsidR="00F24BF9" w:rsidSect="00EF3912">
          <w:headerReference w:type="default" r:id="rId23"/>
          <w:headerReference w:type="first" r:id="rId24"/>
          <w:endnotePr>
            <w:numFmt w:val="decimal"/>
          </w:endnotePr>
          <w:type w:val="continuous"/>
          <w:pgSz w:w="11909" w:h="16834"/>
          <w:pgMar w:top="1009" w:right="1009" w:bottom="1701" w:left="1440" w:header="720" w:footer="1140" w:gutter="0"/>
          <w:paperSrc w:first="7" w:other="7"/>
          <w:cols w:space="720"/>
          <w:titlePg/>
          <w:docGrid w:linePitch="286"/>
        </w:sectPr>
      </w:pPr>
    </w:p>
    <w:tbl>
      <w:tblPr>
        <w:tblpPr w:leftFromText="180" w:rightFromText="180" w:vertAnchor="page" w:horzAnchor="margin" w:tblpY="2867"/>
        <w:tblW w:w="9906" w:type="dxa"/>
        <w:tblLayout w:type="fixed"/>
        <w:tblLook w:val="04A0" w:firstRow="1" w:lastRow="0" w:firstColumn="1" w:lastColumn="0" w:noHBand="0" w:noVBand="1"/>
      </w:tblPr>
      <w:tblGrid>
        <w:gridCol w:w="4678"/>
        <w:gridCol w:w="960"/>
        <w:gridCol w:w="300"/>
        <w:gridCol w:w="236"/>
        <w:gridCol w:w="236"/>
        <w:gridCol w:w="678"/>
        <w:gridCol w:w="236"/>
        <w:gridCol w:w="1115"/>
        <w:gridCol w:w="1147"/>
        <w:gridCol w:w="320"/>
      </w:tblGrid>
      <w:tr w:rsidR="00F24BF9" w:rsidRPr="007179CD" w14:paraId="7ABFFD8D" w14:textId="77777777" w:rsidTr="009E46DF">
        <w:trPr>
          <w:trHeight w:val="300"/>
        </w:trPr>
        <w:tc>
          <w:tcPr>
            <w:tcW w:w="4678" w:type="dxa"/>
            <w:tcBorders>
              <w:top w:val="nil"/>
              <w:left w:val="nil"/>
              <w:bottom w:val="nil"/>
              <w:right w:val="nil"/>
            </w:tcBorders>
            <w:shd w:val="clear" w:color="auto" w:fill="auto"/>
            <w:noWrap/>
            <w:vAlign w:val="bottom"/>
            <w:hideMark/>
          </w:tcPr>
          <w:p w14:paraId="0DA2DA22" w14:textId="77777777" w:rsidR="00F24BF9" w:rsidRPr="003239AE" w:rsidRDefault="00F24BF9" w:rsidP="009E46DF">
            <w:pPr>
              <w:widowControl/>
              <w:spacing w:before="0" w:after="0"/>
              <w:jc w:val="right"/>
              <w:rPr>
                <w:rFonts w:ascii="Calibri" w:hAnsi="Calibri"/>
                <w:color w:val="000000"/>
                <w:kern w:val="0"/>
                <w:sz w:val="18"/>
                <w:szCs w:val="18"/>
              </w:rPr>
            </w:pPr>
          </w:p>
        </w:tc>
        <w:tc>
          <w:tcPr>
            <w:tcW w:w="960" w:type="dxa"/>
            <w:tcBorders>
              <w:top w:val="nil"/>
              <w:left w:val="nil"/>
              <w:right w:val="nil"/>
            </w:tcBorders>
            <w:shd w:val="clear" w:color="auto" w:fill="auto"/>
            <w:vAlign w:val="center"/>
          </w:tcPr>
          <w:p w14:paraId="3B970F83"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00" w:type="dxa"/>
            <w:tcBorders>
              <w:top w:val="nil"/>
              <w:left w:val="nil"/>
              <w:right w:val="nil"/>
            </w:tcBorders>
            <w:shd w:val="clear" w:color="auto" w:fill="auto"/>
            <w:vAlign w:val="center"/>
          </w:tcPr>
          <w:p w14:paraId="2D3AE12B"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46DCFA86"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2683C098"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bottom w:val="nil"/>
              <w:right w:val="nil"/>
            </w:tcBorders>
            <w:shd w:val="clear" w:color="auto" w:fill="auto"/>
            <w:vAlign w:val="center"/>
          </w:tcPr>
          <w:p w14:paraId="27805FDC" w14:textId="77777777" w:rsidR="00F24BF9" w:rsidRPr="003239AE" w:rsidRDefault="00F24BF9" w:rsidP="009E46DF">
            <w:pPr>
              <w:widowControl/>
              <w:spacing w:before="0" w:after="0"/>
              <w:jc w:val="right"/>
              <w:rPr>
                <w:rFonts w:ascii="Calibri" w:hAnsi="Calibri"/>
                <w:b/>
                <w:color w:val="000000"/>
                <w:kern w:val="0"/>
                <w:sz w:val="18"/>
                <w:szCs w:val="18"/>
              </w:rPr>
            </w:pPr>
            <w:r w:rsidRPr="003239AE">
              <w:rPr>
                <w:rFonts w:ascii="Calibri" w:hAnsi="Calibri"/>
                <w:b/>
                <w:color w:val="000000"/>
                <w:kern w:val="0"/>
                <w:sz w:val="18"/>
                <w:szCs w:val="18"/>
              </w:rPr>
              <w:t>Note</w:t>
            </w:r>
          </w:p>
        </w:tc>
        <w:tc>
          <w:tcPr>
            <w:tcW w:w="236" w:type="dxa"/>
            <w:tcBorders>
              <w:top w:val="nil"/>
              <w:left w:val="nil"/>
              <w:bottom w:val="nil"/>
              <w:right w:val="nil"/>
            </w:tcBorders>
            <w:shd w:val="clear" w:color="auto" w:fill="auto"/>
            <w:vAlign w:val="center"/>
            <w:hideMark/>
          </w:tcPr>
          <w:p w14:paraId="02EA5032"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nil"/>
              <w:left w:val="nil"/>
              <w:bottom w:val="nil"/>
              <w:right w:val="nil"/>
            </w:tcBorders>
            <w:vAlign w:val="center"/>
          </w:tcPr>
          <w:p w14:paraId="72133666" w14:textId="77777777" w:rsidR="00F24BF9" w:rsidRPr="003239AE" w:rsidRDefault="00F24BF9" w:rsidP="009E46DF">
            <w:pPr>
              <w:widowControl/>
              <w:spacing w:before="0" w:after="0"/>
              <w:jc w:val="right"/>
              <w:rPr>
                <w:rFonts w:ascii="Calibri" w:hAnsi="Calibri"/>
                <w:b/>
                <w:color w:val="000000"/>
                <w:kern w:val="0"/>
                <w:sz w:val="18"/>
                <w:szCs w:val="18"/>
              </w:rPr>
            </w:pPr>
            <w:r w:rsidRPr="003239AE">
              <w:rPr>
                <w:rFonts w:ascii="Calibri" w:hAnsi="Calibri"/>
                <w:b/>
                <w:color w:val="000000"/>
                <w:kern w:val="0"/>
                <w:sz w:val="18"/>
                <w:szCs w:val="18"/>
              </w:rPr>
              <w:t xml:space="preserve">31 January </w:t>
            </w:r>
            <w:r w:rsidRPr="003239AE">
              <w:rPr>
                <w:rFonts w:ascii="Calibri" w:eastAsia="Times New Roman" w:hAnsi="Calibri" w:cs="Calibri"/>
                <w:b/>
                <w:bCs/>
                <w:color w:val="000000"/>
                <w:kern w:val="0"/>
                <w:sz w:val="18"/>
                <w:szCs w:val="18"/>
              </w:rPr>
              <w:t xml:space="preserve">  </w:t>
            </w:r>
            <w:r w:rsidRPr="003239AE">
              <w:rPr>
                <w:rFonts w:ascii="Calibri" w:hAnsi="Calibri"/>
                <w:b/>
                <w:color w:val="000000"/>
                <w:kern w:val="0"/>
                <w:sz w:val="18"/>
                <w:szCs w:val="18"/>
              </w:rPr>
              <w:t>20</w:t>
            </w:r>
            <w:r w:rsidR="00ED4A34">
              <w:rPr>
                <w:rFonts w:ascii="Calibri" w:hAnsi="Calibri"/>
                <w:b/>
                <w:color w:val="000000"/>
                <w:kern w:val="0"/>
                <w:sz w:val="18"/>
                <w:szCs w:val="18"/>
              </w:rPr>
              <w:t>2</w:t>
            </w:r>
            <w:r w:rsidR="008E0A19">
              <w:rPr>
                <w:rFonts w:ascii="Calibri" w:hAnsi="Calibri"/>
                <w:b/>
                <w:color w:val="000000"/>
                <w:kern w:val="0"/>
                <w:sz w:val="18"/>
                <w:szCs w:val="18"/>
              </w:rPr>
              <w:t>3</w:t>
            </w:r>
          </w:p>
        </w:tc>
        <w:tc>
          <w:tcPr>
            <w:tcW w:w="1147" w:type="dxa"/>
            <w:tcBorders>
              <w:top w:val="nil"/>
              <w:left w:val="nil"/>
              <w:bottom w:val="nil"/>
              <w:right w:val="nil"/>
            </w:tcBorders>
            <w:shd w:val="clear" w:color="auto" w:fill="auto"/>
            <w:vAlign w:val="center"/>
            <w:hideMark/>
          </w:tcPr>
          <w:p w14:paraId="661AD5A6"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r w:rsidRPr="003239AE">
              <w:rPr>
                <w:rFonts w:ascii="Calibri" w:eastAsia="Times New Roman" w:hAnsi="Calibri" w:cs="Calibri"/>
                <w:b/>
                <w:bCs/>
                <w:color w:val="000000"/>
                <w:kern w:val="0"/>
                <w:sz w:val="18"/>
                <w:szCs w:val="18"/>
              </w:rPr>
              <w:t>31 January   20</w:t>
            </w:r>
            <w:r w:rsidR="00EF082E">
              <w:rPr>
                <w:rFonts w:ascii="Calibri" w:eastAsia="Times New Roman" w:hAnsi="Calibri" w:cs="Calibri"/>
                <w:b/>
                <w:bCs/>
                <w:color w:val="000000"/>
                <w:kern w:val="0"/>
                <w:sz w:val="18"/>
                <w:szCs w:val="18"/>
              </w:rPr>
              <w:t>2</w:t>
            </w:r>
            <w:r w:rsidR="008E0A19">
              <w:rPr>
                <w:rFonts w:ascii="Calibri" w:eastAsia="Times New Roman" w:hAnsi="Calibri" w:cs="Calibri"/>
                <w:b/>
                <w:bCs/>
                <w:color w:val="000000"/>
                <w:kern w:val="0"/>
                <w:sz w:val="18"/>
                <w:szCs w:val="18"/>
              </w:rPr>
              <w:t>2</w:t>
            </w:r>
          </w:p>
        </w:tc>
        <w:tc>
          <w:tcPr>
            <w:tcW w:w="320" w:type="dxa"/>
            <w:tcBorders>
              <w:top w:val="nil"/>
              <w:left w:val="nil"/>
              <w:bottom w:val="nil"/>
              <w:right w:val="nil"/>
            </w:tcBorders>
            <w:shd w:val="clear" w:color="auto" w:fill="auto"/>
            <w:vAlign w:val="center"/>
            <w:hideMark/>
          </w:tcPr>
          <w:p w14:paraId="2E83361F"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r>
      <w:tr w:rsidR="00F24BF9" w:rsidRPr="007179CD" w14:paraId="07C6FF63" w14:textId="77777777" w:rsidTr="009E46DF">
        <w:trPr>
          <w:trHeight w:val="300"/>
        </w:trPr>
        <w:tc>
          <w:tcPr>
            <w:tcW w:w="4678" w:type="dxa"/>
            <w:tcBorders>
              <w:top w:val="nil"/>
              <w:left w:val="nil"/>
              <w:bottom w:val="nil"/>
              <w:right w:val="nil"/>
            </w:tcBorders>
            <w:shd w:val="clear" w:color="auto" w:fill="auto"/>
            <w:noWrap/>
            <w:vAlign w:val="bottom"/>
            <w:hideMark/>
          </w:tcPr>
          <w:p w14:paraId="326F1691" w14:textId="77777777" w:rsidR="00F24BF9" w:rsidRPr="003239AE" w:rsidRDefault="00F24BF9" w:rsidP="009E46DF">
            <w:pPr>
              <w:widowControl/>
              <w:spacing w:before="0" w:after="0"/>
              <w:jc w:val="right"/>
              <w:rPr>
                <w:rFonts w:ascii="Calibri" w:hAnsi="Calibri"/>
                <w:b/>
                <w:color w:val="000000"/>
                <w:kern w:val="0"/>
                <w:sz w:val="18"/>
                <w:szCs w:val="18"/>
              </w:rPr>
            </w:pPr>
          </w:p>
        </w:tc>
        <w:tc>
          <w:tcPr>
            <w:tcW w:w="960" w:type="dxa"/>
            <w:tcBorders>
              <w:top w:val="nil"/>
              <w:left w:val="nil"/>
              <w:bottom w:val="nil"/>
              <w:right w:val="nil"/>
            </w:tcBorders>
            <w:shd w:val="clear" w:color="auto" w:fill="auto"/>
            <w:vAlign w:val="center"/>
          </w:tcPr>
          <w:p w14:paraId="6AC17464"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00" w:type="dxa"/>
            <w:tcBorders>
              <w:top w:val="nil"/>
              <w:left w:val="nil"/>
              <w:bottom w:val="nil"/>
              <w:right w:val="nil"/>
            </w:tcBorders>
            <w:shd w:val="clear" w:color="auto" w:fill="auto"/>
            <w:vAlign w:val="center"/>
          </w:tcPr>
          <w:p w14:paraId="1A9B179E"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4AE5C278"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6B6246AA"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bottom w:val="nil"/>
              <w:right w:val="nil"/>
            </w:tcBorders>
            <w:shd w:val="clear" w:color="auto" w:fill="auto"/>
            <w:vAlign w:val="center"/>
          </w:tcPr>
          <w:p w14:paraId="343DD621"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434C78E5"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nil"/>
              <w:left w:val="nil"/>
              <w:bottom w:val="nil"/>
              <w:right w:val="nil"/>
            </w:tcBorders>
            <w:vAlign w:val="center"/>
          </w:tcPr>
          <w:p w14:paraId="67C6B8EA"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r w:rsidRPr="003239AE">
              <w:rPr>
                <w:rFonts w:ascii="Calibri" w:eastAsia="Times New Roman" w:hAnsi="Calibri" w:cs="Calibri"/>
                <w:b/>
                <w:bCs/>
                <w:color w:val="000000"/>
                <w:kern w:val="0"/>
                <w:sz w:val="18"/>
                <w:szCs w:val="18"/>
              </w:rPr>
              <w:t>£</w:t>
            </w:r>
          </w:p>
        </w:tc>
        <w:tc>
          <w:tcPr>
            <w:tcW w:w="1147" w:type="dxa"/>
            <w:tcBorders>
              <w:top w:val="nil"/>
              <w:left w:val="nil"/>
              <w:bottom w:val="nil"/>
              <w:right w:val="nil"/>
            </w:tcBorders>
            <w:shd w:val="clear" w:color="auto" w:fill="auto"/>
            <w:vAlign w:val="center"/>
            <w:hideMark/>
          </w:tcPr>
          <w:p w14:paraId="4DB0CD09" w14:textId="77777777" w:rsidR="00F24BF9" w:rsidRPr="003239AE" w:rsidRDefault="00F24BF9" w:rsidP="009E46DF">
            <w:pPr>
              <w:widowControl/>
              <w:spacing w:before="0" w:after="0"/>
              <w:jc w:val="right"/>
              <w:rPr>
                <w:rFonts w:ascii="Calibri" w:hAnsi="Calibri"/>
                <w:b/>
                <w:color w:val="000000"/>
                <w:kern w:val="0"/>
                <w:sz w:val="18"/>
                <w:szCs w:val="18"/>
              </w:rPr>
            </w:pPr>
            <w:r w:rsidRPr="003239AE">
              <w:rPr>
                <w:rFonts w:ascii="Calibri" w:eastAsia="Times New Roman" w:hAnsi="Calibri" w:cs="Calibri"/>
                <w:b/>
                <w:bCs/>
                <w:color w:val="000000"/>
                <w:kern w:val="0"/>
                <w:sz w:val="18"/>
                <w:szCs w:val="18"/>
              </w:rPr>
              <w:t>£</w:t>
            </w:r>
          </w:p>
        </w:tc>
        <w:tc>
          <w:tcPr>
            <w:tcW w:w="320" w:type="dxa"/>
            <w:tcBorders>
              <w:top w:val="nil"/>
              <w:left w:val="nil"/>
              <w:bottom w:val="nil"/>
              <w:right w:val="nil"/>
            </w:tcBorders>
            <w:shd w:val="clear" w:color="auto" w:fill="auto"/>
            <w:vAlign w:val="center"/>
            <w:hideMark/>
          </w:tcPr>
          <w:p w14:paraId="12B6BEEB" w14:textId="77777777" w:rsidR="00F24BF9" w:rsidRPr="003239AE" w:rsidRDefault="00F24BF9" w:rsidP="009E46DF">
            <w:pPr>
              <w:widowControl/>
              <w:spacing w:before="0" w:after="0"/>
              <w:jc w:val="right"/>
              <w:rPr>
                <w:rFonts w:ascii="Calibri" w:hAnsi="Calibri"/>
                <w:b/>
                <w:color w:val="000000"/>
                <w:kern w:val="0"/>
                <w:sz w:val="18"/>
                <w:szCs w:val="18"/>
              </w:rPr>
            </w:pPr>
          </w:p>
        </w:tc>
      </w:tr>
      <w:tr w:rsidR="00F24BF9" w:rsidRPr="007179CD" w14:paraId="35C4E6B7" w14:textId="77777777" w:rsidTr="009E46DF">
        <w:trPr>
          <w:trHeight w:val="300"/>
        </w:trPr>
        <w:tc>
          <w:tcPr>
            <w:tcW w:w="4678" w:type="dxa"/>
            <w:tcBorders>
              <w:top w:val="nil"/>
              <w:left w:val="nil"/>
              <w:bottom w:val="nil"/>
              <w:right w:val="nil"/>
            </w:tcBorders>
            <w:shd w:val="clear" w:color="auto" w:fill="auto"/>
            <w:noWrap/>
            <w:vAlign w:val="center"/>
            <w:hideMark/>
          </w:tcPr>
          <w:p w14:paraId="78402D69" w14:textId="77777777" w:rsidR="00F24BF9" w:rsidRPr="003239AE" w:rsidRDefault="00F24BF9" w:rsidP="009E46DF">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ASSETS</w:t>
            </w:r>
          </w:p>
        </w:tc>
        <w:tc>
          <w:tcPr>
            <w:tcW w:w="960" w:type="dxa"/>
            <w:tcBorders>
              <w:top w:val="nil"/>
              <w:left w:val="nil"/>
              <w:bottom w:val="nil"/>
              <w:right w:val="nil"/>
            </w:tcBorders>
            <w:shd w:val="clear" w:color="auto" w:fill="auto"/>
            <w:vAlign w:val="center"/>
          </w:tcPr>
          <w:p w14:paraId="511B1B0A" w14:textId="77777777" w:rsidR="00F24BF9" w:rsidRPr="003239AE" w:rsidRDefault="00F24BF9" w:rsidP="009E46DF">
            <w:pPr>
              <w:widowControl/>
              <w:spacing w:before="0" w:after="0"/>
              <w:jc w:val="left"/>
              <w:rPr>
                <w:rFonts w:ascii="Calibri" w:hAnsi="Calibri"/>
                <w:b/>
                <w:color w:val="000000"/>
                <w:kern w:val="0"/>
                <w:sz w:val="18"/>
                <w:szCs w:val="18"/>
              </w:rPr>
            </w:pPr>
          </w:p>
        </w:tc>
        <w:tc>
          <w:tcPr>
            <w:tcW w:w="300" w:type="dxa"/>
            <w:tcBorders>
              <w:top w:val="nil"/>
              <w:left w:val="nil"/>
              <w:bottom w:val="nil"/>
              <w:right w:val="nil"/>
            </w:tcBorders>
            <w:shd w:val="clear" w:color="auto" w:fill="auto"/>
            <w:vAlign w:val="center"/>
          </w:tcPr>
          <w:p w14:paraId="17E93F41"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6A2C5450"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41AB67A4"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67B3CB9A"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7796C8A8"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bottom"/>
          </w:tcPr>
          <w:p w14:paraId="6E9CBC94"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0DFB7B2C"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03B0EEC6" w14:textId="77777777" w:rsidR="00F24BF9" w:rsidRPr="003239AE" w:rsidRDefault="00F24BF9" w:rsidP="009E46DF">
            <w:pPr>
              <w:widowControl/>
              <w:spacing w:before="0" w:after="0"/>
              <w:jc w:val="right"/>
              <w:rPr>
                <w:rFonts w:ascii="Times New Roman" w:hAnsi="Times New Roman"/>
                <w:kern w:val="0"/>
                <w:sz w:val="18"/>
                <w:szCs w:val="18"/>
              </w:rPr>
            </w:pPr>
          </w:p>
        </w:tc>
      </w:tr>
      <w:tr w:rsidR="00F24BF9" w:rsidRPr="007179CD" w14:paraId="31AC03AC" w14:textId="77777777" w:rsidTr="00EF082E">
        <w:trPr>
          <w:trHeight w:val="300"/>
        </w:trPr>
        <w:tc>
          <w:tcPr>
            <w:tcW w:w="4678" w:type="dxa"/>
            <w:tcBorders>
              <w:top w:val="nil"/>
              <w:left w:val="nil"/>
              <w:bottom w:val="nil"/>
              <w:right w:val="nil"/>
            </w:tcBorders>
            <w:shd w:val="clear" w:color="auto" w:fill="auto"/>
            <w:noWrap/>
            <w:vAlign w:val="center"/>
            <w:hideMark/>
          </w:tcPr>
          <w:p w14:paraId="5DD3CA94" w14:textId="77777777" w:rsidR="00F24BF9" w:rsidRPr="003239AE" w:rsidRDefault="00F24BF9" w:rsidP="009E46DF">
            <w:pPr>
              <w:widowControl/>
              <w:spacing w:before="0" w:after="0"/>
              <w:jc w:val="left"/>
              <w:rPr>
                <w:rFonts w:ascii="Calibri" w:hAnsi="Calibri"/>
                <w:i/>
                <w:color w:val="000000"/>
                <w:kern w:val="0"/>
                <w:sz w:val="18"/>
                <w:szCs w:val="18"/>
              </w:rPr>
            </w:pPr>
            <w:r w:rsidRPr="003239AE">
              <w:rPr>
                <w:rFonts w:ascii="Calibri" w:hAnsi="Calibri"/>
                <w:i/>
                <w:color w:val="000000"/>
                <w:kern w:val="0"/>
                <w:sz w:val="18"/>
                <w:szCs w:val="18"/>
              </w:rPr>
              <w:t>Current assets</w:t>
            </w:r>
          </w:p>
        </w:tc>
        <w:tc>
          <w:tcPr>
            <w:tcW w:w="960" w:type="dxa"/>
            <w:tcBorders>
              <w:top w:val="nil"/>
              <w:left w:val="nil"/>
              <w:bottom w:val="nil"/>
              <w:right w:val="nil"/>
            </w:tcBorders>
            <w:shd w:val="clear" w:color="auto" w:fill="auto"/>
            <w:vAlign w:val="center"/>
          </w:tcPr>
          <w:p w14:paraId="210F7047" w14:textId="77777777" w:rsidR="00F24BF9" w:rsidRPr="003239AE" w:rsidRDefault="00F24BF9" w:rsidP="009E46DF">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68530578"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5405B6D7"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7A4445AC"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2831C315"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1815D02D"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right w:val="nil"/>
            </w:tcBorders>
            <w:vAlign w:val="center"/>
          </w:tcPr>
          <w:p w14:paraId="17E01622"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right w:val="nil"/>
            </w:tcBorders>
            <w:shd w:val="clear" w:color="auto" w:fill="auto"/>
            <w:vAlign w:val="center"/>
            <w:hideMark/>
          </w:tcPr>
          <w:p w14:paraId="0ABDCA48"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2E05DAEA" w14:textId="77777777" w:rsidR="00F24BF9" w:rsidRPr="003239AE" w:rsidRDefault="00F24BF9" w:rsidP="009E46DF">
            <w:pPr>
              <w:widowControl/>
              <w:spacing w:before="0" w:after="0"/>
              <w:jc w:val="right"/>
              <w:rPr>
                <w:rFonts w:ascii="Times New Roman" w:hAnsi="Times New Roman"/>
                <w:kern w:val="0"/>
                <w:sz w:val="18"/>
                <w:szCs w:val="18"/>
              </w:rPr>
            </w:pPr>
          </w:p>
        </w:tc>
      </w:tr>
      <w:tr w:rsidR="008E0A19" w:rsidRPr="007179CD" w14:paraId="5A65A67B" w14:textId="77777777" w:rsidTr="00EF082E">
        <w:trPr>
          <w:trHeight w:val="300"/>
        </w:trPr>
        <w:tc>
          <w:tcPr>
            <w:tcW w:w="4678" w:type="dxa"/>
            <w:tcBorders>
              <w:top w:val="nil"/>
              <w:left w:val="nil"/>
              <w:bottom w:val="nil"/>
              <w:right w:val="nil"/>
            </w:tcBorders>
            <w:shd w:val="clear" w:color="auto" w:fill="auto"/>
            <w:noWrap/>
            <w:vAlign w:val="center"/>
          </w:tcPr>
          <w:p w14:paraId="2F15ADF5" w14:textId="77777777" w:rsidR="008E0A19" w:rsidRPr="00CD1113" w:rsidRDefault="008E0A19" w:rsidP="008E0A19">
            <w:pPr>
              <w:widowControl/>
              <w:spacing w:before="0" w:after="0"/>
              <w:jc w:val="left"/>
              <w:rPr>
                <w:rFonts w:ascii="Calibri" w:hAnsi="Calibri"/>
                <w:iCs/>
                <w:color w:val="000000"/>
                <w:kern w:val="0"/>
                <w:sz w:val="18"/>
                <w:szCs w:val="18"/>
              </w:rPr>
            </w:pPr>
            <w:r>
              <w:rPr>
                <w:rFonts w:ascii="Calibri" w:hAnsi="Calibri"/>
                <w:iCs/>
                <w:color w:val="000000"/>
                <w:kern w:val="0"/>
                <w:sz w:val="18"/>
                <w:szCs w:val="18"/>
              </w:rPr>
              <w:t>Trade and other receivables</w:t>
            </w:r>
          </w:p>
        </w:tc>
        <w:tc>
          <w:tcPr>
            <w:tcW w:w="960" w:type="dxa"/>
            <w:tcBorders>
              <w:top w:val="nil"/>
              <w:left w:val="nil"/>
              <w:bottom w:val="nil"/>
              <w:right w:val="nil"/>
            </w:tcBorders>
            <w:shd w:val="clear" w:color="auto" w:fill="auto"/>
            <w:vAlign w:val="center"/>
          </w:tcPr>
          <w:p w14:paraId="6DBF6CFD" w14:textId="77777777" w:rsidR="008E0A19" w:rsidRPr="003239AE" w:rsidRDefault="008E0A19" w:rsidP="008E0A19">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63C50FB5"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19F87EE1"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6D283555" w14:textId="77777777" w:rsidR="008E0A19" w:rsidRPr="003239AE" w:rsidRDefault="008E0A19" w:rsidP="008E0A19">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3A92F58A" w14:textId="77777777" w:rsidR="008E0A19" w:rsidRPr="00CD1113" w:rsidRDefault="008E0A19" w:rsidP="008E0A19">
            <w:pPr>
              <w:widowControl/>
              <w:spacing w:before="0" w:after="0"/>
              <w:jc w:val="right"/>
              <w:rPr>
                <w:rFonts w:ascii="Calibri" w:hAnsi="Calibri"/>
                <w:b/>
                <w:bCs/>
                <w:color w:val="000000"/>
                <w:kern w:val="0"/>
                <w:sz w:val="18"/>
                <w:szCs w:val="18"/>
              </w:rPr>
            </w:pPr>
            <w:r>
              <w:rPr>
                <w:rFonts w:ascii="Calibri" w:hAnsi="Calibri"/>
                <w:b/>
                <w:bCs/>
                <w:color w:val="000000"/>
                <w:kern w:val="0"/>
                <w:sz w:val="18"/>
                <w:szCs w:val="18"/>
              </w:rPr>
              <w:t>5</w:t>
            </w:r>
          </w:p>
        </w:tc>
        <w:tc>
          <w:tcPr>
            <w:tcW w:w="236" w:type="dxa"/>
            <w:tcBorders>
              <w:top w:val="nil"/>
              <w:left w:val="nil"/>
              <w:bottom w:val="nil"/>
              <w:right w:val="nil"/>
            </w:tcBorders>
            <w:shd w:val="clear" w:color="auto" w:fill="auto"/>
            <w:vAlign w:val="center"/>
          </w:tcPr>
          <w:p w14:paraId="32E28C1F" w14:textId="77777777" w:rsidR="008E0A19" w:rsidRPr="003239AE" w:rsidRDefault="008E0A19" w:rsidP="008E0A19">
            <w:pPr>
              <w:widowControl/>
              <w:spacing w:before="0" w:after="0"/>
              <w:jc w:val="right"/>
              <w:rPr>
                <w:rFonts w:ascii="Times New Roman" w:hAnsi="Times New Roman"/>
                <w:kern w:val="0"/>
                <w:sz w:val="18"/>
                <w:szCs w:val="18"/>
              </w:rPr>
            </w:pPr>
          </w:p>
        </w:tc>
        <w:tc>
          <w:tcPr>
            <w:tcW w:w="1115" w:type="dxa"/>
            <w:tcBorders>
              <w:top w:val="nil"/>
              <w:left w:val="nil"/>
              <w:right w:val="nil"/>
            </w:tcBorders>
            <w:vAlign w:val="center"/>
          </w:tcPr>
          <w:p w14:paraId="382644B3" w14:textId="09CF57FC" w:rsidR="008E0A19" w:rsidRPr="00CD1113" w:rsidRDefault="00EF0AF1" w:rsidP="008E0A19">
            <w:pPr>
              <w:widowControl/>
              <w:spacing w:before="0" w:after="0"/>
              <w:jc w:val="right"/>
              <w:rPr>
                <w:rFonts w:ascii="Calibri" w:hAnsi="Calibri"/>
                <w:color w:val="000000"/>
                <w:kern w:val="0"/>
                <w:sz w:val="18"/>
                <w:szCs w:val="18"/>
              </w:rPr>
            </w:pPr>
            <w:r>
              <w:rPr>
                <w:rFonts w:ascii="Calibri" w:hAnsi="Calibri"/>
                <w:color w:val="000000"/>
                <w:kern w:val="0"/>
                <w:sz w:val="18"/>
                <w:szCs w:val="18"/>
              </w:rPr>
              <w:t>22,281</w:t>
            </w:r>
          </w:p>
        </w:tc>
        <w:tc>
          <w:tcPr>
            <w:tcW w:w="1147" w:type="dxa"/>
            <w:tcBorders>
              <w:top w:val="nil"/>
              <w:left w:val="nil"/>
              <w:right w:val="nil"/>
            </w:tcBorders>
            <w:shd w:val="clear" w:color="auto" w:fill="auto"/>
            <w:vAlign w:val="center"/>
          </w:tcPr>
          <w:p w14:paraId="2F264CC9" w14:textId="77777777" w:rsidR="008E0A19" w:rsidRPr="003239AE" w:rsidRDefault="008E0A19" w:rsidP="008E0A19">
            <w:pPr>
              <w:widowControl/>
              <w:spacing w:before="0" w:after="0"/>
              <w:jc w:val="right"/>
              <w:rPr>
                <w:rFonts w:ascii="Times New Roman" w:hAnsi="Times New Roman"/>
                <w:kern w:val="0"/>
                <w:sz w:val="18"/>
                <w:szCs w:val="18"/>
              </w:rPr>
            </w:pPr>
            <w:r>
              <w:rPr>
                <w:rFonts w:ascii="Calibri" w:hAnsi="Calibri"/>
                <w:color w:val="000000"/>
                <w:kern w:val="0"/>
                <w:sz w:val="18"/>
                <w:szCs w:val="18"/>
              </w:rPr>
              <w:t>8,269</w:t>
            </w:r>
          </w:p>
        </w:tc>
        <w:tc>
          <w:tcPr>
            <w:tcW w:w="320" w:type="dxa"/>
            <w:tcBorders>
              <w:top w:val="nil"/>
              <w:left w:val="nil"/>
              <w:bottom w:val="nil"/>
              <w:right w:val="nil"/>
            </w:tcBorders>
            <w:shd w:val="clear" w:color="auto" w:fill="auto"/>
            <w:vAlign w:val="center"/>
          </w:tcPr>
          <w:p w14:paraId="6B5C98FA" w14:textId="77777777" w:rsidR="008E0A19" w:rsidRPr="003239AE" w:rsidRDefault="008E0A19" w:rsidP="008E0A19">
            <w:pPr>
              <w:widowControl/>
              <w:spacing w:before="0" w:after="0"/>
              <w:jc w:val="right"/>
              <w:rPr>
                <w:rFonts w:ascii="Times New Roman" w:hAnsi="Times New Roman"/>
                <w:kern w:val="0"/>
                <w:sz w:val="18"/>
                <w:szCs w:val="18"/>
              </w:rPr>
            </w:pPr>
          </w:p>
        </w:tc>
      </w:tr>
      <w:tr w:rsidR="008E0A19" w:rsidRPr="007179CD" w14:paraId="759F5858" w14:textId="77777777" w:rsidTr="00EF082E">
        <w:trPr>
          <w:trHeight w:val="300"/>
        </w:trPr>
        <w:tc>
          <w:tcPr>
            <w:tcW w:w="4678" w:type="dxa"/>
            <w:tcBorders>
              <w:top w:val="nil"/>
              <w:left w:val="nil"/>
              <w:bottom w:val="nil"/>
              <w:right w:val="nil"/>
            </w:tcBorders>
            <w:shd w:val="clear" w:color="auto" w:fill="auto"/>
            <w:noWrap/>
            <w:vAlign w:val="center"/>
          </w:tcPr>
          <w:p w14:paraId="08B099AC" w14:textId="77777777" w:rsidR="008E0A19" w:rsidRPr="003239AE" w:rsidRDefault="008E0A19" w:rsidP="008E0A19">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Cash and cash equivalents</w:t>
            </w:r>
          </w:p>
        </w:tc>
        <w:tc>
          <w:tcPr>
            <w:tcW w:w="960" w:type="dxa"/>
            <w:tcBorders>
              <w:top w:val="nil"/>
              <w:left w:val="nil"/>
              <w:bottom w:val="nil"/>
              <w:right w:val="nil"/>
            </w:tcBorders>
            <w:shd w:val="clear" w:color="auto" w:fill="auto"/>
            <w:vAlign w:val="center"/>
          </w:tcPr>
          <w:p w14:paraId="7A041EEB" w14:textId="77777777" w:rsidR="008E0A19" w:rsidRPr="003239AE" w:rsidRDefault="008E0A19" w:rsidP="008E0A19">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0B23097F"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5A3004CF"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7F355176" w14:textId="77777777" w:rsidR="008E0A19" w:rsidRPr="003239AE" w:rsidRDefault="008E0A19" w:rsidP="008E0A19">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3B831B05" w14:textId="77777777" w:rsidR="008E0A19" w:rsidRPr="00524F2A" w:rsidRDefault="008E0A19" w:rsidP="008E0A19">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2FB07219" w14:textId="77777777" w:rsidR="008E0A19" w:rsidRPr="003239AE" w:rsidRDefault="008E0A19" w:rsidP="008E0A19">
            <w:pPr>
              <w:widowControl/>
              <w:spacing w:before="0" w:after="0"/>
              <w:jc w:val="right"/>
              <w:rPr>
                <w:rFonts w:ascii="Calibri" w:hAnsi="Calibri"/>
                <w:color w:val="000000"/>
                <w:kern w:val="0"/>
                <w:sz w:val="18"/>
                <w:szCs w:val="18"/>
              </w:rPr>
            </w:pPr>
          </w:p>
        </w:tc>
        <w:tc>
          <w:tcPr>
            <w:tcW w:w="1115" w:type="dxa"/>
            <w:tcBorders>
              <w:top w:val="nil"/>
              <w:left w:val="nil"/>
              <w:right w:val="nil"/>
            </w:tcBorders>
            <w:vAlign w:val="center"/>
          </w:tcPr>
          <w:p w14:paraId="1F15F669" w14:textId="77777777" w:rsidR="008E0A19" w:rsidRPr="003239AE" w:rsidRDefault="00B059BA" w:rsidP="008E0A19">
            <w:pPr>
              <w:widowControl/>
              <w:spacing w:before="0" w:after="0"/>
              <w:jc w:val="right"/>
              <w:rPr>
                <w:rFonts w:ascii="Calibri" w:hAnsi="Calibri"/>
                <w:color w:val="000000"/>
                <w:kern w:val="0"/>
                <w:sz w:val="18"/>
                <w:szCs w:val="18"/>
              </w:rPr>
            </w:pPr>
            <w:r>
              <w:rPr>
                <w:rFonts w:ascii="Calibri" w:hAnsi="Calibri"/>
                <w:color w:val="000000"/>
                <w:kern w:val="0"/>
                <w:sz w:val="18"/>
                <w:szCs w:val="18"/>
              </w:rPr>
              <w:t>48,210</w:t>
            </w:r>
          </w:p>
        </w:tc>
        <w:tc>
          <w:tcPr>
            <w:tcW w:w="1147" w:type="dxa"/>
            <w:tcBorders>
              <w:top w:val="nil"/>
              <w:left w:val="nil"/>
              <w:right w:val="nil"/>
            </w:tcBorders>
            <w:shd w:val="clear" w:color="auto" w:fill="auto"/>
            <w:vAlign w:val="center"/>
          </w:tcPr>
          <w:p w14:paraId="289ADF01" w14:textId="77777777" w:rsidR="008E0A19" w:rsidRPr="003239AE" w:rsidRDefault="008E0A19" w:rsidP="008E0A19">
            <w:pPr>
              <w:widowControl/>
              <w:spacing w:before="0" w:after="0"/>
              <w:jc w:val="right"/>
              <w:rPr>
                <w:rFonts w:ascii="Calibri" w:hAnsi="Calibri"/>
                <w:color w:val="000000"/>
                <w:kern w:val="0"/>
                <w:sz w:val="18"/>
                <w:szCs w:val="18"/>
              </w:rPr>
            </w:pPr>
            <w:r>
              <w:rPr>
                <w:rFonts w:ascii="Calibri" w:hAnsi="Calibri"/>
                <w:color w:val="000000"/>
                <w:kern w:val="0"/>
                <w:sz w:val="18"/>
                <w:szCs w:val="18"/>
              </w:rPr>
              <w:t>200,354</w:t>
            </w:r>
          </w:p>
        </w:tc>
        <w:tc>
          <w:tcPr>
            <w:tcW w:w="320" w:type="dxa"/>
            <w:tcBorders>
              <w:top w:val="nil"/>
              <w:left w:val="nil"/>
              <w:bottom w:val="nil"/>
              <w:right w:val="nil"/>
            </w:tcBorders>
            <w:shd w:val="clear" w:color="auto" w:fill="auto"/>
            <w:vAlign w:val="center"/>
          </w:tcPr>
          <w:p w14:paraId="586A006E" w14:textId="77777777" w:rsidR="008E0A19" w:rsidRPr="003239AE" w:rsidRDefault="008E0A19" w:rsidP="008E0A19">
            <w:pPr>
              <w:widowControl/>
              <w:spacing w:before="0" w:after="0"/>
              <w:jc w:val="right"/>
              <w:rPr>
                <w:rFonts w:ascii="Calibri" w:hAnsi="Calibri"/>
                <w:color w:val="000000"/>
                <w:kern w:val="0"/>
                <w:sz w:val="18"/>
                <w:szCs w:val="18"/>
              </w:rPr>
            </w:pPr>
          </w:p>
        </w:tc>
      </w:tr>
      <w:tr w:rsidR="008E0A19" w:rsidRPr="007179CD" w14:paraId="7DB4065F" w14:textId="77777777" w:rsidTr="009E46DF">
        <w:trPr>
          <w:trHeight w:val="315"/>
        </w:trPr>
        <w:tc>
          <w:tcPr>
            <w:tcW w:w="4678" w:type="dxa"/>
            <w:tcBorders>
              <w:top w:val="nil"/>
              <w:left w:val="nil"/>
              <w:bottom w:val="nil"/>
              <w:right w:val="nil"/>
            </w:tcBorders>
            <w:shd w:val="clear" w:color="auto" w:fill="auto"/>
            <w:noWrap/>
            <w:vAlign w:val="center"/>
            <w:hideMark/>
          </w:tcPr>
          <w:p w14:paraId="7D0D26BE" w14:textId="77777777" w:rsidR="008E0A19" w:rsidRPr="003239AE" w:rsidRDefault="008E0A19" w:rsidP="008E0A19">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Total assets</w:t>
            </w:r>
          </w:p>
        </w:tc>
        <w:tc>
          <w:tcPr>
            <w:tcW w:w="960" w:type="dxa"/>
            <w:tcBorders>
              <w:top w:val="nil"/>
              <w:left w:val="nil"/>
              <w:right w:val="nil"/>
            </w:tcBorders>
            <w:shd w:val="clear" w:color="auto" w:fill="auto"/>
            <w:vAlign w:val="center"/>
          </w:tcPr>
          <w:p w14:paraId="7C94541C" w14:textId="77777777" w:rsidR="008E0A19" w:rsidRPr="003239AE" w:rsidRDefault="008E0A19" w:rsidP="008E0A19">
            <w:pPr>
              <w:widowControl/>
              <w:spacing w:before="0" w:after="0"/>
              <w:jc w:val="right"/>
              <w:rPr>
                <w:rFonts w:ascii="Calibri" w:hAnsi="Calibri"/>
                <w:b/>
                <w:color w:val="000000"/>
                <w:kern w:val="0"/>
                <w:sz w:val="18"/>
                <w:szCs w:val="18"/>
              </w:rPr>
            </w:pPr>
          </w:p>
        </w:tc>
        <w:tc>
          <w:tcPr>
            <w:tcW w:w="300" w:type="dxa"/>
            <w:tcBorders>
              <w:top w:val="nil"/>
              <w:left w:val="nil"/>
              <w:right w:val="nil"/>
            </w:tcBorders>
            <w:shd w:val="clear" w:color="auto" w:fill="auto"/>
            <w:vAlign w:val="center"/>
          </w:tcPr>
          <w:p w14:paraId="616BB792"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right w:val="nil"/>
            </w:tcBorders>
            <w:shd w:val="clear" w:color="auto" w:fill="auto"/>
            <w:vAlign w:val="center"/>
          </w:tcPr>
          <w:p w14:paraId="7C6E508D"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2F151C5F"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top w:val="nil"/>
              <w:left w:val="nil"/>
              <w:right w:val="nil"/>
            </w:tcBorders>
            <w:shd w:val="clear" w:color="auto" w:fill="auto"/>
            <w:vAlign w:val="center"/>
          </w:tcPr>
          <w:p w14:paraId="57EE38C2"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690458EB"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top w:val="single" w:sz="4" w:space="0" w:color="auto"/>
              <w:left w:val="nil"/>
              <w:bottom w:val="double" w:sz="6" w:space="0" w:color="auto"/>
              <w:right w:val="nil"/>
            </w:tcBorders>
            <w:vAlign w:val="center"/>
          </w:tcPr>
          <w:p w14:paraId="66D42588" w14:textId="726F122B" w:rsidR="008E0A19" w:rsidRPr="003239AE" w:rsidRDefault="00EF0AF1" w:rsidP="008E0A19">
            <w:pPr>
              <w:widowControl/>
              <w:spacing w:before="0" w:after="0"/>
              <w:jc w:val="right"/>
              <w:rPr>
                <w:rFonts w:ascii="Calibri" w:hAnsi="Calibri"/>
                <w:b/>
                <w:color w:val="000000"/>
                <w:kern w:val="0"/>
                <w:sz w:val="18"/>
                <w:szCs w:val="18"/>
              </w:rPr>
            </w:pPr>
            <w:r>
              <w:rPr>
                <w:rFonts w:ascii="Calibri" w:hAnsi="Calibri"/>
                <w:b/>
                <w:color w:val="000000"/>
                <w:kern w:val="0"/>
                <w:sz w:val="18"/>
                <w:szCs w:val="18"/>
              </w:rPr>
              <w:t>70,491</w:t>
            </w:r>
          </w:p>
        </w:tc>
        <w:tc>
          <w:tcPr>
            <w:tcW w:w="1147" w:type="dxa"/>
            <w:tcBorders>
              <w:top w:val="single" w:sz="4" w:space="0" w:color="auto"/>
              <w:left w:val="nil"/>
              <w:bottom w:val="double" w:sz="6" w:space="0" w:color="auto"/>
              <w:right w:val="nil"/>
            </w:tcBorders>
            <w:shd w:val="clear" w:color="auto" w:fill="auto"/>
            <w:vAlign w:val="center"/>
            <w:hideMark/>
          </w:tcPr>
          <w:p w14:paraId="73B0BD67" w14:textId="77777777" w:rsidR="008E0A19" w:rsidRPr="003239AE" w:rsidRDefault="008E0A19" w:rsidP="008E0A19">
            <w:pPr>
              <w:widowControl/>
              <w:spacing w:before="0" w:after="0"/>
              <w:jc w:val="right"/>
              <w:rPr>
                <w:rFonts w:ascii="Calibri" w:hAnsi="Calibri"/>
                <w:b/>
                <w:color w:val="000000"/>
                <w:kern w:val="0"/>
                <w:sz w:val="18"/>
                <w:szCs w:val="18"/>
              </w:rPr>
            </w:pPr>
            <w:r>
              <w:rPr>
                <w:rFonts w:ascii="Calibri" w:hAnsi="Calibri"/>
                <w:b/>
                <w:color w:val="000000"/>
                <w:kern w:val="0"/>
                <w:sz w:val="18"/>
                <w:szCs w:val="18"/>
              </w:rPr>
              <w:t>208,623</w:t>
            </w:r>
          </w:p>
        </w:tc>
        <w:tc>
          <w:tcPr>
            <w:tcW w:w="320" w:type="dxa"/>
            <w:tcBorders>
              <w:top w:val="nil"/>
              <w:left w:val="nil"/>
              <w:bottom w:val="nil"/>
              <w:right w:val="nil"/>
            </w:tcBorders>
            <w:shd w:val="clear" w:color="auto" w:fill="auto"/>
            <w:vAlign w:val="center"/>
            <w:hideMark/>
          </w:tcPr>
          <w:p w14:paraId="5E5F00F1"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0F19C702" w14:textId="77777777" w:rsidTr="009E46DF">
        <w:trPr>
          <w:trHeight w:val="315"/>
        </w:trPr>
        <w:tc>
          <w:tcPr>
            <w:tcW w:w="4678" w:type="dxa"/>
            <w:tcBorders>
              <w:top w:val="nil"/>
              <w:left w:val="nil"/>
              <w:bottom w:val="nil"/>
              <w:right w:val="nil"/>
            </w:tcBorders>
            <w:shd w:val="clear" w:color="auto" w:fill="auto"/>
            <w:noWrap/>
            <w:vAlign w:val="center"/>
            <w:hideMark/>
          </w:tcPr>
          <w:p w14:paraId="7E656F22" w14:textId="77777777" w:rsidR="008E0A19" w:rsidRPr="003239AE" w:rsidRDefault="008E0A19" w:rsidP="008E0A19">
            <w:pPr>
              <w:widowControl/>
              <w:spacing w:before="0" w:after="0"/>
              <w:jc w:val="right"/>
              <w:rPr>
                <w:rFonts w:ascii="Calibri" w:hAnsi="Calibri"/>
                <w:b/>
                <w:color w:val="000000"/>
                <w:kern w:val="0"/>
                <w:sz w:val="18"/>
                <w:szCs w:val="18"/>
              </w:rPr>
            </w:pPr>
          </w:p>
        </w:tc>
        <w:tc>
          <w:tcPr>
            <w:tcW w:w="960" w:type="dxa"/>
            <w:tcBorders>
              <w:top w:val="nil"/>
              <w:left w:val="nil"/>
              <w:bottom w:val="nil"/>
              <w:right w:val="nil"/>
            </w:tcBorders>
            <w:shd w:val="clear" w:color="auto" w:fill="auto"/>
            <w:vAlign w:val="center"/>
          </w:tcPr>
          <w:p w14:paraId="146558AD" w14:textId="77777777" w:rsidR="008E0A19" w:rsidRPr="003239AE" w:rsidRDefault="008E0A19" w:rsidP="008E0A19">
            <w:pPr>
              <w:widowControl/>
              <w:spacing w:before="0" w:after="0"/>
              <w:jc w:val="right"/>
              <w:rPr>
                <w:rFonts w:ascii="Calibri" w:hAnsi="Calibri"/>
                <w:color w:val="000000"/>
                <w:kern w:val="0"/>
                <w:sz w:val="18"/>
                <w:szCs w:val="18"/>
              </w:rPr>
            </w:pPr>
          </w:p>
        </w:tc>
        <w:tc>
          <w:tcPr>
            <w:tcW w:w="300" w:type="dxa"/>
            <w:tcBorders>
              <w:top w:val="nil"/>
              <w:left w:val="nil"/>
              <w:bottom w:val="nil"/>
              <w:right w:val="nil"/>
            </w:tcBorders>
            <w:shd w:val="clear" w:color="auto" w:fill="auto"/>
            <w:vAlign w:val="center"/>
          </w:tcPr>
          <w:p w14:paraId="0F0798ED" w14:textId="77777777" w:rsidR="008E0A19" w:rsidRPr="003239AE" w:rsidRDefault="008E0A19" w:rsidP="008E0A19">
            <w:pPr>
              <w:widowControl/>
              <w:spacing w:before="0" w:after="0"/>
              <w:jc w:val="right"/>
              <w:rPr>
                <w:rFonts w:ascii="Calibri" w:hAnsi="Calibri"/>
                <w:color w:val="000000"/>
                <w:kern w:val="0"/>
                <w:sz w:val="18"/>
                <w:szCs w:val="18"/>
              </w:rPr>
            </w:pPr>
          </w:p>
        </w:tc>
        <w:tc>
          <w:tcPr>
            <w:tcW w:w="236" w:type="dxa"/>
            <w:tcBorders>
              <w:top w:val="nil"/>
              <w:left w:val="nil"/>
              <w:bottom w:val="nil"/>
              <w:right w:val="nil"/>
            </w:tcBorders>
            <w:shd w:val="clear" w:color="auto" w:fill="auto"/>
            <w:vAlign w:val="center"/>
          </w:tcPr>
          <w:p w14:paraId="318278CA"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7560BC2A" w14:textId="77777777" w:rsidR="008E0A19" w:rsidRPr="003239AE" w:rsidRDefault="008E0A19" w:rsidP="008E0A19">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1B1F8ED9"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24B7CA6A" w14:textId="77777777" w:rsidR="008E0A19" w:rsidRPr="003239AE" w:rsidRDefault="008E0A19" w:rsidP="008E0A19">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center"/>
          </w:tcPr>
          <w:p w14:paraId="39DD0519" w14:textId="77777777" w:rsidR="008E0A19" w:rsidRPr="003239AE" w:rsidRDefault="008E0A19" w:rsidP="008E0A19">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6F195996" w14:textId="77777777" w:rsidR="008E0A19" w:rsidRPr="003239AE" w:rsidRDefault="008E0A19" w:rsidP="008E0A19">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3A8EB09A" w14:textId="77777777" w:rsidR="008E0A19" w:rsidRPr="003239AE" w:rsidRDefault="008E0A19" w:rsidP="008E0A19">
            <w:pPr>
              <w:widowControl/>
              <w:spacing w:before="0" w:after="0"/>
              <w:jc w:val="right"/>
              <w:rPr>
                <w:rFonts w:ascii="Times New Roman" w:hAnsi="Times New Roman"/>
                <w:kern w:val="0"/>
                <w:sz w:val="18"/>
                <w:szCs w:val="18"/>
              </w:rPr>
            </w:pPr>
          </w:p>
        </w:tc>
      </w:tr>
      <w:tr w:rsidR="008E0A19" w:rsidRPr="007179CD" w14:paraId="6139D4BB" w14:textId="77777777" w:rsidTr="009E46DF">
        <w:trPr>
          <w:trHeight w:val="300"/>
        </w:trPr>
        <w:tc>
          <w:tcPr>
            <w:tcW w:w="4678" w:type="dxa"/>
            <w:tcBorders>
              <w:top w:val="nil"/>
              <w:left w:val="nil"/>
              <w:bottom w:val="nil"/>
              <w:right w:val="nil"/>
            </w:tcBorders>
            <w:shd w:val="clear" w:color="auto" w:fill="auto"/>
            <w:noWrap/>
            <w:vAlign w:val="center"/>
            <w:hideMark/>
          </w:tcPr>
          <w:p w14:paraId="6AF46101" w14:textId="77777777" w:rsidR="008E0A19" w:rsidRPr="003239AE" w:rsidRDefault="008E0A19" w:rsidP="008E0A19">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 xml:space="preserve">EQUITY </w:t>
            </w:r>
          </w:p>
        </w:tc>
        <w:tc>
          <w:tcPr>
            <w:tcW w:w="960" w:type="dxa"/>
            <w:tcBorders>
              <w:top w:val="nil"/>
              <w:left w:val="nil"/>
              <w:bottom w:val="nil"/>
              <w:right w:val="nil"/>
            </w:tcBorders>
            <w:shd w:val="clear" w:color="auto" w:fill="auto"/>
            <w:vAlign w:val="center"/>
          </w:tcPr>
          <w:p w14:paraId="3C3A55EE" w14:textId="77777777" w:rsidR="008E0A19" w:rsidRPr="003239AE" w:rsidRDefault="008E0A19" w:rsidP="008E0A19">
            <w:pPr>
              <w:widowControl/>
              <w:spacing w:before="0" w:after="0"/>
              <w:jc w:val="left"/>
              <w:rPr>
                <w:rFonts w:ascii="Calibri" w:hAnsi="Calibri"/>
                <w:b/>
                <w:color w:val="000000"/>
                <w:kern w:val="0"/>
                <w:sz w:val="18"/>
                <w:szCs w:val="18"/>
              </w:rPr>
            </w:pPr>
          </w:p>
        </w:tc>
        <w:tc>
          <w:tcPr>
            <w:tcW w:w="300" w:type="dxa"/>
            <w:tcBorders>
              <w:top w:val="nil"/>
              <w:left w:val="nil"/>
              <w:bottom w:val="nil"/>
              <w:right w:val="nil"/>
            </w:tcBorders>
            <w:shd w:val="clear" w:color="auto" w:fill="auto"/>
            <w:vAlign w:val="center"/>
          </w:tcPr>
          <w:p w14:paraId="24FF5AF6"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73515E7D"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13A2DA6C" w14:textId="77777777" w:rsidR="008E0A19" w:rsidRPr="003239AE" w:rsidRDefault="008E0A19" w:rsidP="008E0A19">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69A22232"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0C06C484" w14:textId="77777777" w:rsidR="008E0A19" w:rsidRPr="003239AE" w:rsidRDefault="008E0A19" w:rsidP="008E0A19">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center"/>
          </w:tcPr>
          <w:p w14:paraId="7AADA217" w14:textId="77777777" w:rsidR="008E0A19" w:rsidRPr="003239AE" w:rsidRDefault="008E0A19" w:rsidP="008E0A19">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723037A6" w14:textId="77777777" w:rsidR="008E0A19" w:rsidRPr="003239AE" w:rsidRDefault="008E0A19" w:rsidP="008E0A19">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3ED3DFB4" w14:textId="77777777" w:rsidR="008E0A19" w:rsidRPr="003239AE" w:rsidRDefault="008E0A19" w:rsidP="008E0A19">
            <w:pPr>
              <w:widowControl/>
              <w:spacing w:before="0" w:after="0"/>
              <w:jc w:val="right"/>
              <w:rPr>
                <w:rFonts w:ascii="Times New Roman" w:hAnsi="Times New Roman"/>
                <w:kern w:val="0"/>
                <w:sz w:val="18"/>
                <w:szCs w:val="18"/>
              </w:rPr>
            </w:pPr>
          </w:p>
        </w:tc>
      </w:tr>
      <w:tr w:rsidR="008E0A19" w:rsidRPr="007179CD" w14:paraId="408EADF7" w14:textId="77777777" w:rsidTr="009E46DF">
        <w:trPr>
          <w:trHeight w:val="300"/>
        </w:trPr>
        <w:tc>
          <w:tcPr>
            <w:tcW w:w="4678" w:type="dxa"/>
            <w:tcBorders>
              <w:top w:val="nil"/>
              <w:left w:val="nil"/>
              <w:bottom w:val="nil"/>
              <w:right w:val="nil"/>
            </w:tcBorders>
            <w:shd w:val="clear" w:color="auto" w:fill="auto"/>
            <w:noWrap/>
            <w:vAlign w:val="center"/>
            <w:hideMark/>
          </w:tcPr>
          <w:p w14:paraId="02A2E9B2" w14:textId="77777777" w:rsidR="008E0A19" w:rsidRPr="003239AE" w:rsidRDefault="008E0A19" w:rsidP="008E0A19">
            <w:pPr>
              <w:widowControl/>
              <w:spacing w:before="0" w:after="0"/>
              <w:jc w:val="left"/>
              <w:rPr>
                <w:rFonts w:ascii="Calibri" w:hAnsi="Calibri"/>
                <w:i/>
                <w:color w:val="000000"/>
                <w:kern w:val="0"/>
                <w:sz w:val="18"/>
                <w:szCs w:val="18"/>
              </w:rPr>
            </w:pPr>
            <w:r w:rsidRPr="003239AE">
              <w:rPr>
                <w:rFonts w:ascii="Calibri" w:hAnsi="Calibri"/>
                <w:i/>
                <w:color w:val="000000"/>
                <w:kern w:val="0"/>
                <w:sz w:val="18"/>
                <w:szCs w:val="18"/>
              </w:rPr>
              <w:t xml:space="preserve">Equity </w:t>
            </w:r>
            <w:r w:rsidRPr="003239AE">
              <w:rPr>
                <w:rFonts w:ascii="Calibri" w:eastAsia="Times New Roman" w:hAnsi="Calibri" w:cs="Calibri"/>
                <w:i/>
                <w:iCs/>
                <w:color w:val="000000"/>
                <w:kern w:val="0"/>
                <w:sz w:val="18"/>
                <w:szCs w:val="18"/>
              </w:rPr>
              <w:t>Attributable</w:t>
            </w:r>
            <w:r w:rsidRPr="003239AE">
              <w:rPr>
                <w:rFonts w:ascii="Calibri" w:hAnsi="Calibri"/>
                <w:i/>
                <w:color w:val="000000"/>
                <w:kern w:val="0"/>
                <w:sz w:val="18"/>
                <w:szCs w:val="18"/>
              </w:rPr>
              <w:t xml:space="preserve"> to </w:t>
            </w:r>
            <w:r w:rsidRPr="003239AE">
              <w:rPr>
                <w:rFonts w:ascii="Calibri" w:eastAsia="Times New Roman" w:hAnsi="Calibri" w:cs="Calibri"/>
                <w:i/>
                <w:iCs/>
                <w:color w:val="000000"/>
                <w:kern w:val="0"/>
                <w:sz w:val="18"/>
                <w:szCs w:val="18"/>
              </w:rPr>
              <w:t xml:space="preserve">Owners of the company </w:t>
            </w:r>
          </w:p>
        </w:tc>
        <w:tc>
          <w:tcPr>
            <w:tcW w:w="960" w:type="dxa"/>
            <w:tcBorders>
              <w:top w:val="nil"/>
              <w:left w:val="nil"/>
              <w:bottom w:val="nil"/>
              <w:right w:val="nil"/>
            </w:tcBorders>
            <w:shd w:val="clear" w:color="auto" w:fill="auto"/>
            <w:vAlign w:val="center"/>
          </w:tcPr>
          <w:p w14:paraId="3EEC0A63" w14:textId="77777777" w:rsidR="008E0A19" w:rsidRPr="003239AE" w:rsidRDefault="008E0A19" w:rsidP="008E0A19">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00573EB4"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2E0D357E"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4BC9DBCC" w14:textId="77777777" w:rsidR="008E0A19" w:rsidRPr="003239AE" w:rsidRDefault="008E0A19" w:rsidP="008E0A19">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1A01EBBE" w14:textId="77777777" w:rsidR="008E0A19" w:rsidRPr="003239AE" w:rsidRDefault="008E0A19" w:rsidP="008E0A19">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56BD8834" w14:textId="77777777" w:rsidR="008E0A19" w:rsidRPr="003239AE" w:rsidRDefault="008E0A19" w:rsidP="008E0A19">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center"/>
          </w:tcPr>
          <w:p w14:paraId="401F04DD" w14:textId="77777777" w:rsidR="008E0A19" w:rsidRPr="003239AE" w:rsidRDefault="008E0A19" w:rsidP="008E0A19">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010A6130" w14:textId="77777777" w:rsidR="008E0A19" w:rsidRPr="003239AE" w:rsidRDefault="008E0A19" w:rsidP="008E0A19">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063F2C2F" w14:textId="77777777" w:rsidR="008E0A19" w:rsidRPr="003239AE" w:rsidRDefault="008E0A19" w:rsidP="008E0A19">
            <w:pPr>
              <w:widowControl/>
              <w:spacing w:before="0" w:after="0"/>
              <w:jc w:val="right"/>
              <w:rPr>
                <w:rFonts w:ascii="Times New Roman" w:hAnsi="Times New Roman"/>
                <w:kern w:val="0"/>
                <w:sz w:val="18"/>
                <w:szCs w:val="18"/>
              </w:rPr>
            </w:pPr>
          </w:p>
        </w:tc>
      </w:tr>
      <w:tr w:rsidR="008E0A19" w:rsidRPr="007179CD" w14:paraId="5B18C60D" w14:textId="77777777" w:rsidTr="009E46DF">
        <w:trPr>
          <w:trHeight w:val="300"/>
        </w:trPr>
        <w:tc>
          <w:tcPr>
            <w:tcW w:w="4678" w:type="dxa"/>
            <w:tcBorders>
              <w:top w:val="nil"/>
              <w:left w:val="nil"/>
              <w:right w:val="nil"/>
            </w:tcBorders>
            <w:shd w:val="clear" w:color="auto" w:fill="auto"/>
            <w:noWrap/>
            <w:vAlign w:val="center"/>
            <w:hideMark/>
          </w:tcPr>
          <w:p w14:paraId="3CB4A61E" w14:textId="77777777" w:rsidR="008E0A19" w:rsidRPr="003239AE" w:rsidRDefault="008E0A19" w:rsidP="008E0A19">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Share capital</w:t>
            </w:r>
          </w:p>
        </w:tc>
        <w:tc>
          <w:tcPr>
            <w:tcW w:w="960" w:type="dxa"/>
            <w:tcBorders>
              <w:top w:val="nil"/>
              <w:left w:val="nil"/>
              <w:right w:val="nil"/>
            </w:tcBorders>
            <w:shd w:val="clear" w:color="auto" w:fill="auto"/>
            <w:vAlign w:val="center"/>
          </w:tcPr>
          <w:p w14:paraId="7955AF20" w14:textId="77777777" w:rsidR="008E0A19" w:rsidRPr="003239AE" w:rsidRDefault="008E0A19" w:rsidP="008E0A19">
            <w:pPr>
              <w:widowControl/>
              <w:spacing w:before="0" w:after="0"/>
              <w:jc w:val="right"/>
              <w:rPr>
                <w:rFonts w:ascii="Calibri" w:hAnsi="Calibri"/>
                <w:b/>
                <w:color w:val="000000"/>
                <w:kern w:val="0"/>
                <w:sz w:val="18"/>
                <w:szCs w:val="18"/>
              </w:rPr>
            </w:pPr>
          </w:p>
        </w:tc>
        <w:tc>
          <w:tcPr>
            <w:tcW w:w="300" w:type="dxa"/>
            <w:tcBorders>
              <w:top w:val="nil"/>
              <w:left w:val="nil"/>
              <w:right w:val="nil"/>
            </w:tcBorders>
            <w:shd w:val="clear" w:color="auto" w:fill="auto"/>
            <w:vAlign w:val="center"/>
          </w:tcPr>
          <w:p w14:paraId="672C63D8"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right w:val="nil"/>
            </w:tcBorders>
            <w:shd w:val="clear" w:color="auto" w:fill="auto"/>
            <w:vAlign w:val="center"/>
          </w:tcPr>
          <w:p w14:paraId="2CFF542D"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hideMark/>
          </w:tcPr>
          <w:p w14:paraId="5A4CFBBE"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top w:val="nil"/>
              <w:left w:val="nil"/>
              <w:right w:val="nil"/>
            </w:tcBorders>
            <w:shd w:val="clear" w:color="auto" w:fill="auto"/>
            <w:vAlign w:val="center"/>
          </w:tcPr>
          <w:p w14:paraId="5662871B" w14:textId="77777777" w:rsidR="008E0A19" w:rsidRPr="00737882" w:rsidRDefault="008E0A19" w:rsidP="008E0A19">
            <w:pPr>
              <w:widowControl/>
              <w:spacing w:before="0" w:after="0"/>
              <w:jc w:val="right"/>
              <w:rPr>
                <w:rFonts w:ascii="Calibri" w:hAnsi="Calibri"/>
                <w:b/>
                <w:bCs/>
                <w:color w:val="000000"/>
                <w:kern w:val="0"/>
                <w:sz w:val="18"/>
                <w:szCs w:val="18"/>
              </w:rPr>
            </w:pPr>
            <w:r>
              <w:rPr>
                <w:rFonts w:ascii="Calibri" w:hAnsi="Calibri"/>
                <w:b/>
                <w:bCs/>
                <w:color w:val="000000"/>
                <w:kern w:val="0"/>
                <w:sz w:val="18"/>
                <w:szCs w:val="18"/>
              </w:rPr>
              <w:t>6</w:t>
            </w:r>
          </w:p>
        </w:tc>
        <w:tc>
          <w:tcPr>
            <w:tcW w:w="236" w:type="dxa"/>
            <w:tcBorders>
              <w:top w:val="nil"/>
              <w:left w:val="nil"/>
              <w:right w:val="nil"/>
            </w:tcBorders>
            <w:shd w:val="clear" w:color="auto" w:fill="auto"/>
            <w:vAlign w:val="center"/>
            <w:hideMark/>
          </w:tcPr>
          <w:p w14:paraId="1CE603E8" w14:textId="77777777" w:rsidR="008E0A19" w:rsidRPr="003239AE" w:rsidRDefault="008E0A19" w:rsidP="008E0A19">
            <w:pPr>
              <w:widowControl/>
              <w:spacing w:before="0" w:after="0"/>
              <w:jc w:val="right"/>
              <w:rPr>
                <w:rFonts w:ascii="Calibri" w:hAnsi="Calibri"/>
                <w:color w:val="000000"/>
                <w:kern w:val="0"/>
                <w:sz w:val="18"/>
                <w:szCs w:val="18"/>
              </w:rPr>
            </w:pPr>
          </w:p>
        </w:tc>
        <w:tc>
          <w:tcPr>
            <w:tcW w:w="1115" w:type="dxa"/>
            <w:tcBorders>
              <w:top w:val="nil"/>
              <w:left w:val="nil"/>
              <w:right w:val="nil"/>
            </w:tcBorders>
            <w:vAlign w:val="center"/>
          </w:tcPr>
          <w:p w14:paraId="3F30A0BD" w14:textId="77777777" w:rsidR="008E0A19" w:rsidRPr="00D63E44" w:rsidRDefault="00B059BA" w:rsidP="004856E9">
            <w:pPr>
              <w:widowControl/>
              <w:spacing w:before="0" w:after="0"/>
              <w:jc w:val="right"/>
              <w:rPr>
                <w:rFonts w:ascii="Calibri" w:hAnsi="Calibri"/>
                <w:color w:val="000000"/>
                <w:kern w:val="0"/>
                <w:sz w:val="18"/>
                <w:szCs w:val="18"/>
              </w:rPr>
            </w:pPr>
            <w:r>
              <w:rPr>
                <w:rFonts w:ascii="Calibri" w:hAnsi="Calibri"/>
                <w:color w:val="000000"/>
                <w:kern w:val="0"/>
                <w:sz w:val="18"/>
                <w:szCs w:val="18"/>
              </w:rPr>
              <w:t>320,500</w:t>
            </w:r>
          </w:p>
        </w:tc>
        <w:tc>
          <w:tcPr>
            <w:tcW w:w="1147" w:type="dxa"/>
            <w:tcBorders>
              <w:top w:val="nil"/>
              <w:left w:val="nil"/>
              <w:right w:val="nil"/>
            </w:tcBorders>
            <w:shd w:val="clear" w:color="auto" w:fill="auto"/>
            <w:vAlign w:val="center"/>
            <w:hideMark/>
          </w:tcPr>
          <w:p w14:paraId="47935B1C" w14:textId="77777777" w:rsidR="008E0A19" w:rsidRPr="003239AE" w:rsidRDefault="008E0A19" w:rsidP="008E0A19">
            <w:pPr>
              <w:widowControl/>
              <w:spacing w:before="0" w:after="0"/>
              <w:jc w:val="center"/>
              <w:rPr>
                <w:rFonts w:ascii="Calibri" w:hAnsi="Calibri"/>
                <w:color w:val="000000"/>
                <w:kern w:val="0"/>
                <w:sz w:val="18"/>
                <w:szCs w:val="18"/>
              </w:rPr>
            </w:pPr>
            <w:r w:rsidRPr="00D63E44">
              <w:rPr>
                <w:rFonts w:ascii="Calibri" w:hAnsi="Calibri"/>
                <w:color w:val="000000"/>
                <w:kern w:val="0"/>
                <w:sz w:val="18"/>
                <w:szCs w:val="18"/>
              </w:rPr>
              <w:t xml:space="preserve">      320,500</w:t>
            </w:r>
          </w:p>
        </w:tc>
        <w:tc>
          <w:tcPr>
            <w:tcW w:w="320" w:type="dxa"/>
            <w:tcBorders>
              <w:top w:val="nil"/>
              <w:left w:val="nil"/>
              <w:right w:val="nil"/>
            </w:tcBorders>
            <w:shd w:val="clear" w:color="auto" w:fill="auto"/>
            <w:vAlign w:val="center"/>
            <w:hideMark/>
          </w:tcPr>
          <w:p w14:paraId="7B1B22F3" w14:textId="77777777" w:rsidR="008E0A19" w:rsidRPr="003239AE" w:rsidRDefault="008E0A19" w:rsidP="008E0A19">
            <w:pPr>
              <w:widowControl/>
              <w:spacing w:before="0" w:after="0"/>
              <w:jc w:val="right"/>
              <w:rPr>
                <w:rFonts w:ascii="Calibri" w:hAnsi="Calibri"/>
                <w:color w:val="000000"/>
                <w:kern w:val="0"/>
                <w:sz w:val="18"/>
                <w:szCs w:val="18"/>
              </w:rPr>
            </w:pPr>
          </w:p>
        </w:tc>
      </w:tr>
      <w:tr w:rsidR="008E0A19" w:rsidRPr="007179CD" w14:paraId="320F95F1" w14:textId="77777777" w:rsidTr="009E46DF">
        <w:trPr>
          <w:trHeight w:val="300"/>
        </w:trPr>
        <w:tc>
          <w:tcPr>
            <w:tcW w:w="4678" w:type="dxa"/>
            <w:tcBorders>
              <w:top w:val="nil"/>
              <w:left w:val="nil"/>
              <w:right w:val="nil"/>
            </w:tcBorders>
            <w:shd w:val="clear" w:color="auto" w:fill="auto"/>
            <w:noWrap/>
            <w:vAlign w:val="center"/>
          </w:tcPr>
          <w:p w14:paraId="6072D1A3" w14:textId="77777777" w:rsidR="008E0A19" w:rsidRPr="003239AE" w:rsidRDefault="008E0A19" w:rsidP="008E0A19">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Share premium</w:t>
            </w:r>
          </w:p>
        </w:tc>
        <w:tc>
          <w:tcPr>
            <w:tcW w:w="960" w:type="dxa"/>
            <w:tcBorders>
              <w:top w:val="nil"/>
              <w:left w:val="nil"/>
              <w:right w:val="nil"/>
            </w:tcBorders>
            <w:shd w:val="clear" w:color="auto" w:fill="auto"/>
            <w:vAlign w:val="center"/>
          </w:tcPr>
          <w:p w14:paraId="2FE15027"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right w:val="nil"/>
            </w:tcBorders>
            <w:shd w:val="clear" w:color="auto" w:fill="auto"/>
            <w:vAlign w:val="center"/>
          </w:tcPr>
          <w:p w14:paraId="71CCBE42"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right w:val="nil"/>
            </w:tcBorders>
            <w:shd w:val="clear" w:color="auto" w:fill="auto"/>
            <w:vAlign w:val="center"/>
          </w:tcPr>
          <w:p w14:paraId="56ABDEDD"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1A91ABEA"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top w:val="nil"/>
              <w:left w:val="nil"/>
              <w:right w:val="nil"/>
            </w:tcBorders>
            <w:shd w:val="clear" w:color="auto" w:fill="auto"/>
            <w:vAlign w:val="center"/>
          </w:tcPr>
          <w:p w14:paraId="617CEB80" w14:textId="77777777" w:rsidR="008E0A19" w:rsidRPr="003239AE" w:rsidRDefault="008E0A19" w:rsidP="008E0A19">
            <w:pPr>
              <w:widowControl/>
              <w:spacing w:before="0" w:after="0"/>
              <w:jc w:val="right"/>
              <w:rPr>
                <w:rFonts w:ascii="Calibri" w:hAnsi="Calibri"/>
                <w:color w:val="000000"/>
                <w:kern w:val="0"/>
                <w:sz w:val="18"/>
                <w:szCs w:val="18"/>
              </w:rPr>
            </w:pPr>
          </w:p>
        </w:tc>
        <w:tc>
          <w:tcPr>
            <w:tcW w:w="236" w:type="dxa"/>
            <w:tcBorders>
              <w:top w:val="nil"/>
              <w:left w:val="nil"/>
              <w:right w:val="nil"/>
            </w:tcBorders>
            <w:shd w:val="clear" w:color="auto" w:fill="auto"/>
            <w:vAlign w:val="center"/>
          </w:tcPr>
          <w:p w14:paraId="10636FE2" w14:textId="77777777" w:rsidR="008E0A19" w:rsidRPr="003239AE" w:rsidRDefault="008E0A19" w:rsidP="008E0A19">
            <w:pPr>
              <w:widowControl/>
              <w:spacing w:before="0" w:after="0"/>
              <w:jc w:val="right"/>
              <w:rPr>
                <w:rFonts w:ascii="Calibri" w:hAnsi="Calibri"/>
                <w:color w:val="000000"/>
                <w:kern w:val="0"/>
                <w:sz w:val="18"/>
                <w:szCs w:val="18"/>
              </w:rPr>
            </w:pPr>
          </w:p>
        </w:tc>
        <w:tc>
          <w:tcPr>
            <w:tcW w:w="1115" w:type="dxa"/>
            <w:tcBorders>
              <w:top w:val="nil"/>
              <w:left w:val="nil"/>
              <w:right w:val="nil"/>
            </w:tcBorders>
            <w:vAlign w:val="center"/>
          </w:tcPr>
          <w:p w14:paraId="51C7F789" w14:textId="77777777" w:rsidR="008E0A19" w:rsidRPr="00D63E44" w:rsidRDefault="00B059BA" w:rsidP="004856E9">
            <w:pPr>
              <w:widowControl/>
              <w:spacing w:before="0" w:after="0"/>
              <w:jc w:val="right"/>
              <w:rPr>
                <w:rFonts w:ascii="Calibri" w:hAnsi="Calibri"/>
                <w:color w:val="000000"/>
                <w:kern w:val="0"/>
                <w:sz w:val="18"/>
                <w:szCs w:val="18"/>
              </w:rPr>
            </w:pPr>
            <w:r>
              <w:rPr>
                <w:rFonts w:ascii="Calibri" w:hAnsi="Calibri"/>
                <w:color w:val="000000"/>
                <w:kern w:val="0"/>
                <w:sz w:val="18"/>
                <w:szCs w:val="18"/>
              </w:rPr>
              <w:t>406,167</w:t>
            </w:r>
          </w:p>
        </w:tc>
        <w:tc>
          <w:tcPr>
            <w:tcW w:w="1147" w:type="dxa"/>
            <w:tcBorders>
              <w:top w:val="nil"/>
              <w:left w:val="nil"/>
              <w:right w:val="nil"/>
            </w:tcBorders>
            <w:shd w:val="clear" w:color="auto" w:fill="auto"/>
            <w:vAlign w:val="center"/>
          </w:tcPr>
          <w:p w14:paraId="7F7012B7" w14:textId="77777777" w:rsidR="008E0A19" w:rsidRPr="003239AE" w:rsidRDefault="008E0A19" w:rsidP="008E0A19">
            <w:pPr>
              <w:widowControl/>
              <w:spacing w:before="0" w:after="0"/>
              <w:jc w:val="center"/>
              <w:rPr>
                <w:rFonts w:ascii="Calibri" w:hAnsi="Calibri"/>
                <w:color w:val="000000"/>
                <w:kern w:val="0"/>
                <w:sz w:val="18"/>
                <w:szCs w:val="18"/>
              </w:rPr>
            </w:pPr>
            <w:r w:rsidRPr="00D63E44">
              <w:rPr>
                <w:rFonts w:ascii="Calibri" w:hAnsi="Calibri"/>
                <w:color w:val="000000"/>
                <w:kern w:val="0"/>
                <w:sz w:val="18"/>
                <w:szCs w:val="18"/>
              </w:rPr>
              <w:t xml:space="preserve">      406,167</w:t>
            </w:r>
          </w:p>
        </w:tc>
        <w:tc>
          <w:tcPr>
            <w:tcW w:w="320" w:type="dxa"/>
            <w:tcBorders>
              <w:top w:val="nil"/>
              <w:left w:val="nil"/>
              <w:right w:val="nil"/>
            </w:tcBorders>
            <w:shd w:val="clear" w:color="auto" w:fill="auto"/>
            <w:vAlign w:val="center"/>
          </w:tcPr>
          <w:p w14:paraId="098AEF6B" w14:textId="77777777" w:rsidR="008E0A19" w:rsidRPr="003239AE" w:rsidRDefault="008E0A19" w:rsidP="008E0A19">
            <w:pPr>
              <w:widowControl/>
              <w:spacing w:before="0" w:after="0"/>
              <w:jc w:val="right"/>
              <w:rPr>
                <w:rFonts w:ascii="Calibri" w:hAnsi="Calibri"/>
                <w:color w:val="000000"/>
                <w:kern w:val="0"/>
                <w:sz w:val="18"/>
                <w:szCs w:val="18"/>
              </w:rPr>
            </w:pPr>
          </w:p>
        </w:tc>
      </w:tr>
      <w:tr w:rsidR="008E0A19" w:rsidRPr="007179CD" w14:paraId="2A38D6F5" w14:textId="77777777" w:rsidTr="009E46DF">
        <w:trPr>
          <w:trHeight w:val="300"/>
        </w:trPr>
        <w:tc>
          <w:tcPr>
            <w:tcW w:w="4678" w:type="dxa"/>
            <w:tcBorders>
              <w:left w:val="nil"/>
              <w:bottom w:val="nil"/>
              <w:right w:val="nil"/>
            </w:tcBorders>
            <w:shd w:val="clear" w:color="auto" w:fill="auto"/>
            <w:noWrap/>
            <w:vAlign w:val="center"/>
          </w:tcPr>
          <w:p w14:paraId="1AF80FA0" w14:textId="77777777" w:rsidR="008E0A19" w:rsidRPr="003239AE" w:rsidRDefault="008E0A19" w:rsidP="008E0A19">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Retained earnings</w:t>
            </w:r>
          </w:p>
        </w:tc>
        <w:tc>
          <w:tcPr>
            <w:tcW w:w="960" w:type="dxa"/>
            <w:tcBorders>
              <w:left w:val="nil"/>
              <w:bottom w:val="nil"/>
              <w:right w:val="nil"/>
            </w:tcBorders>
            <w:shd w:val="clear" w:color="auto" w:fill="auto"/>
            <w:vAlign w:val="center"/>
          </w:tcPr>
          <w:p w14:paraId="397C3522"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left w:val="nil"/>
              <w:bottom w:val="nil"/>
              <w:right w:val="nil"/>
            </w:tcBorders>
            <w:shd w:val="clear" w:color="auto" w:fill="auto"/>
            <w:vAlign w:val="center"/>
          </w:tcPr>
          <w:p w14:paraId="6D0F222E"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left w:val="nil"/>
              <w:bottom w:val="nil"/>
              <w:right w:val="nil"/>
            </w:tcBorders>
            <w:shd w:val="clear" w:color="auto" w:fill="auto"/>
            <w:vAlign w:val="center"/>
          </w:tcPr>
          <w:p w14:paraId="789F2DD4"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left w:val="nil"/>
              <w:bottom w:val="nil"/>
              <w:right w:val="nil"/>
            </w:tcBorders>
            <w:shd w:val="clear" w:color="auto" w:fill="auto"/>
            <w:vAlign w:val="center"/>
          </w:tcPr>
          <w:p w14:paraId="0DAE063F"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68324579" w14:textId="77777777" w:rsidR="008E0A19" w:rsidRPr="003239AE" w:rsidRDefault="008E0A19" w:rsidP="008E0A19">
            <w:pPr>
              <w:widowControl/>
              <w:spacing w:before="0" w:after="0"/>
              <w:jc w:val="right"/>
              <w:rPr>
                <w:rFonts w:ascii="Calibri" w:hAnsi="Calibri"/>
                <w:color w:val="000000"/>
                <w:kern w:val="0"/>
                <w:sz w:val="18"/>
                <w:szCs w:val="18"/>
              </w:rPr>
            </w:pPr>
          </w:p>
        </w:tc>
        <w:tc>
          <w:tcPr>
            <w:tcW w:w="236" w:type="dxa"/>
            <w:tcBorders>
              <w:left w:val="nil"/>
              <w:bottom w:val="nil"/>
              <w:right w:val="nil"/>
            </w:tcBorders>
            <w:shd w:val="clear" w:color="auto" w:fill="auto"/>
            <w:vAlign w:val="center"/>
          </w:tcPr>
          <w:p w14:paraId="6BA021B3" w14:textId="77777777" w:rsidR="008E0A19" w:rsidRPr="003239AE" w:rsidRDefault="008E0A19" w:rsidP="008E0A19">
            <w:pPr>
              <w:widowControl/>
              <w:spacing w:before="0" w:after="0"/>
              <w:jc w:val="right"/>
              <w:rPr>
                <w:rFonts w:ascii="Calibri" w:hAnsi="Calibri"/>
                <w:color w:val="000000"/>
                <w:kern w:val="0"/>
                <w:sz w:val="18"/>
                <w:szCs w:val="18"/>
              </w:rPr>
            </w:pPr>
          </w:p>
        </w:tc>
        <w:tc>
          <w:tcPr>
            <w:tcW w:w="1115" w:type="dxa"/>
            <w:tcBorders>
              <w:left w:val="nil"/>
              <w:bottom w:val="single" w:sz="4" w:space="0" w:color="auto"/>
              <w:right w:val="nil"/>
            </w:tcBorders>
            <w:vAlign w:val="center"/>
          </w:tcPr>
          <w:p w14:paraId="7939BBB2" w14:textId="2A190198" w:rsidR="008E0A19" w:rsidRPr="003239AE" w:rsidRDefault="00B059BA" w:rsidP="00B059BA">
            <w:pPr>
              <w:widowControl/>
              <w:spacing w:before="0" w:after="0"/>
              <w:jc w:val="right"/>
              <w:rPr>
                <w:rFonts w:ascii="Calibri" w:hAnsi="Calibri"/>
                <w:color w:val="000000"/>
                <w:kern w:val="0"/>
                <w:sz w:val="18"/>
                <w:szCs w:val="18"/>
              </w:rPr>
            </w:pPr>
            <w:r>
              <w:rPr>
                <w:rFonts w:ascii="Calibri" w:hAnsi="Calibri"/>
                <w:color w:val="000000"/>
                <w:kern w:val="0"/>
                <w:sz w:val="18"/>
                <w:szCs w:val="18"/>
              </w:rPr>
              <w:t>(</w:t>
            </w:r>
            <w:r w:rsidR="00EF0AF1">
              <w:rPr>
                <w:rFonts w:ascii="Calibri" w:hAnsi="Calibri"/>
                <w:color w:val="000000"/>
                <w:kern w:val="0"/>
                <w:sz w:val="18"/>
                <w:szCs w:val="18"/>
              </w:rPr>
              <w:t>715,542</w:t>
            </w:r>
            <w:r>
              <w:rPr>
                <w:rFonts w:ascii="Calibri" w:hAnsi="Calibri"/>
                <w:color w:val="000000"/>
                <w:kern w:val="0"/>
                <w:sz w:val="18"/>
                <w:szCs w:val="18"/>
              </w:rPr>
              <w:t>)</w:t>
            </w:r>
          </w:p>
        </w:tc>
        <w:tc>
          <w:tcPr>
            <w:tcW w:w="1147" w:type="dxa"/>
            <w:tcBorders>
              <w:left w:val="nil"/>
              <w:bottom w:val="single" w:sz="4" w:space="0" w:color="auto"/>
              <w:right w:val="nil"/>
            </w:tcBorders>
            <w:shd w:val="clear" w:color="auto" w:fill="auto"/>
            <w:vAlign w:val="center"/>
          </w:tcPr>
          <w:p w14:paraId="36E29C9E" w14:textId="77777777" w:rsidR="008E0A19" w:rsidRPr="003239AE" w:rsidRDefault="008E0A19" w:rsidP="008E0A19">
            <w:pPr>
              <w:widowControl/>
              <w:spacing w:before="0" w:after="0"/>
              <w:jc w:val="right"/>
              <w:rPr>
                <w:rFonts w:ascii="Calibri" w:hAnsi="Calibri"/>
                <w:color w:val="000000"/>
                <w:kern w:val="0"/>
                <w:sz w:val="18"/>
                <w:szCs w:val="18"/>
              </w:rPr>
            </w:pPr>
            <w:r w:rsidRPr="003239AE">
              <w:rPr>
                <w:rFonts w:ascii="Calibri" w:hAnsi="Calibri"/>
                <w:color w:val="000000"/>
                <w:kern w:val="0"/>
                <w:sz w:val="18"/>
                <w:szCs w:val="18"/>
              </w:rPr>
              <w:t>(</w:t>
            </w:r>
            <w:r>
              <w:rPr>
                <w:rFonts w:ascii="Calibri" w:hAnsi="Calibri"/>
                <w:color w:val="000000"/>
                <w:kern w:val="0"/>
                <w:sz w:val="18"/>
                <w:szCs w:val="18"/>
              </w:rPr>
              <w:t>556,067</w:t>
            </w:r>
            <w:r w:rsidRPr="003239AE">
              <w:rPr>
                <w:rFonts w:ascii="Calibri" w:hAnsi="Calibri"/>
                <w:color w:val="000000"/>
                <w:kern w:val="0"/>
                <w:sz w:val="18"/>
                <w:szCs w:val="18"/>
              </w:rPr>
              <w:t>)</w:t>
            </w:r>
          </w:p>
        </w:tc>
        <w:tc>
          <w:tcPr>
            <w:tcW w:w="320" w:type="dxa"/>
            <w:tcBorders>
              <w:left w:val="nil"/>
              <w:bottom w:val="nil"/>
              <w:right w:val="nil"/>
            </w:tcBorders>
            <w:shd w:val="clear" w:color="auto" w:fill="auto"/>
            <w:vAlign w:val="center"/>
          </w:tcPr>
          <w:p w14:paraId="2E9F241A" w14:textId="77777777" w:rsidR="008E0A19" w:rsidRPr="003239AE" w:rsidRDefault="008E0A19" w:rsidP="008E0A19">
            <w:pPr>
              <w:widowControl/>
              <w:spacing w:before="0" w:after="0"/>
              <w:jc w:val="right"/>
              <w:rPr>
                <w:rFonts w:ascii="Calibri" w:hAnsi="Calibri"/>
                <w:color w:val="000000"/>
                <w:kern w:val="0"/>
                <w:sz w:val="18"/>
                <w:szCs w:val="18"/>
              </w:rPr>
            </w:pPr>
          </w:p>
        </w:tc>
      </w:tr>
      <w:tr w:rsidR="008E0A19" w:rsidRPr="007179CD" w14:paraId="0CA258A7" w14:textId="77777777" w:rsidTr="009E46DF">
        <w:trPr>
          <w:trHeight w:val="300"/>
        </w:trPr>
        <w:tc>
          <w:tcPr>
            <w:tcW w:w="4678" w:type="dxa"/>
            <w:tcBorders>
              <w:top w:val="nil"/>
              <w:left w:val="nil"/>
              <w:bottom w:val="nil"/>
              <w:right w:val="nil"/>
            </w:tcBorders>
            <w:shd w:val="clear" w:color="auto" w:fill="auto"/>
            <w:noWrap/>
            <w:vAlign w:val="center"/>
          </w:tcPr>
          <w:p w14:paraId="619B42DA" w14:textId="77777777" w:rsidR="008E0A19" w:rsidRPr="003239AE" w:rsidRDefault="008E0A19" w:rsidP="008E0A19">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Total equity</w:t>
            </w:r>
          </w:p>
        </w:tc>
        <w:tc>
          <w:tcPr>
            <w:tcW w:w="960" w:type="dxa"/>
            <w:tcBorders>
              <w:top w:val="nil"/>
              <w:left w:val="nil"/>
              <w:bottom w:val="nil"/>
              <w:right w:val="nil"/>
            </w:tcBorders>
            <w:shd w:val="clear" w:color="auto" w:fill="auto"/>
            <w:vAlign w:val="center"/>
          </w:tcPr>
          <w:p w14:paraId="1C609AD6"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4120BDF6"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20246561"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2F51FA01"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76F0C1F1"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0D4D22A1"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top w:val="single" w:sz="4" w:space="0" w:color="auto"/>
              <w:left w:val="nil"/>
              <w:bottom w:val="single" w:sz="4" w:space="0" w:color="auto"/>
              <w:right w:val="nil"/>
            </w:tcBorders>
            <w:vAlign w:val="center"/>
          </w:tcPr>
          <w:p w14:paraId="63363980" w14:textId="1C5EF55E" w:rsidR="008E0A19" w:rsidRPr="003239AE" w:rsidRDefault="00EF0AF1" w:rsidP="004856E9">
            <w:pPr>
              <w:widowControl/>
              <w:spacing w:before="0" w:after="0"/>
              <w:jc w:val="right"/>
              <w:rPr>
                <w:rFonts w:ascii="Calibri" w:hAnsi="Calibri"/>
                <w:b/>
                <w:color w:val="000000"/>
                <w:kern w:val="0"/>
                <w:sz w:val="18"/>
                <w:szCs w:val="18"/>
              </w:rPr>
            </w:pPr>
            <w:r>
              <w:rPr>
                <w:rFonts w:ascii="Calibri" w:hAnsi="Calibri"/>
                <w:b/>
                <w:color w:val="000000"/>
                <w:kern w:val="0"/>
                <w:sz w:val="18"/>
                <w:szCs w:val="18"/>
              </w:rPr>
              <w:t>11,12</w:t>
            </w:r>
            <w:r w:rsidR="00E1461E">
              <w:rPr>
                <w:rFonts w:ascii="Calibri" w:hAnsi="Calibri"/>
                <w:b/>
                <w:color w:val="000000"/>
                <w:kern w:val="0"/>
                <w:sz w:val="18"/>
                <w:szCs w:val="18"/>
              </w:rPr>
              <w:t>5</w:t>
            </w:r>
          </w:p>
        </w:tc>
        <w:tc>
          <w:tcPr>
            <w:tcW w:w="1147" w:type="dxa"/>
            <w:tcBorders>
              <w:top w:val="single" w:sz="4" w:space="0" w:color="auto"/>
              <w:left w:val="nil"/>
              <w:bottom w:val="single" w:sz="4" w:space="0" w:color="auto"/>
              <w:right w:val="nil"/>
            </w:tcBorders>
            <w:shd w:val="clear" w:color="auto" w:fill="auto"/>
            <w:vAlign w:val="center"/>
          </w:tcPr>
          <w:p w14:paraId="3248DA7D" w14:textId="77777777" w:rsidR="008E0A19" w:rsidRPr="003239AE" w:rsidRDefault="008E0A19" w:rsidP="008E0A19">
            <w:pPr>
              <w:widowControl/>
              <w:spacing w:before="0" w:after="0"/>
              <w:jc w:val="center"/>
              <w:rPr>
                <w:rFonts w:ascii="Calibri" w:hAnsi="Calibri"/>
                <w:b/>
                <w:color w:val="000000"/>
                <w:kern w:val="0"/>
                <w:sz w:val="18"/>
                <w:szCs w:val="18"/>
              </w:rPr>
            </w:pPr>
            <w:r>
              <w:rPr>
                <w:rFonts w:ascii="Calibri" w:hAnsi="Calibri"/>
                <w:b/>
                <w:color w:val="000000"/>
                <w:kern w:val="0"/>
                <w:sz w:val="18"/>
                <w:szCs w:val="18"/>
              </w:rPr>
              <w:t xml:space="preserve">     170,600</w:t>
            </w:r>
          </w:p>
        </w:tc>
        <w:tc>
          <w:tcPr>
            <w:tcW w:w="320" w:type="dxa"/>
            <w:tcBorders>
              <w:top w:val="nil"/>
              <w:left w:val="nil"/>
              <w:bottom w:val="nil"/>
              <w:right w:val="nil"/>
            </w:tcBorders>
            <w:shd w:val="clear" w:color="auto" w:fill="auto"/>
            <w:vAlign w:val="center"/>
          </w:tcPr>
          <w:p w14:paraId="2FF2B1F9"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31193A11" w14:textId="77777777" w:rsidTr="00EF082E">
        <w:trPr>
          <w:trHeight w:val="300"/>
        </w:trPr>
        <w:tc>
          <w:tcPr>
            <w:tcW w:w="4678" w:type="dxa"/>
            <w:tcBorders>
              <w:top w:val="nil"/>
              <w:left w:val="nil"/>
              <w:bottom w:val="nil"/>
              <w:right w:val="nil"/>
            </w:tcBorders>
            <w:shd w:val="clear" w:color="auto" w:fill="auto"/>
            <w:noWrap/>
            <w:vAlign w:val="center"/>
          </w:tcPr>
          <w:p w14:paraId="4B2FC52D" w14:textId="77777777" w:rsidR="008E0A19" w:rsidRPr="003239AE" w:rsidRDefault="008E0A19" w:rsidP="008E0A19">
            <w:pPr>
              <w:widowControl/>
              <w:spacing w:before="0" w:after="0"/>
              <w:jc w:val="left"/>
              <w:rPr>
                <w:rFonts w:ascii="Calibri" w:hAnsi="Calibri"/>
                <w:color w:val="000000"/>
                <w:kern w:val="0"/>
                <w:sz w:val="18"/>
                <w:szCs w:val="18"/>
              </w:rPr>
            </w:pPr>
            <w:r w:rsidRPr="003239AE">
              <w:rPr>
                <w:rFonts w:ascii="Calibri" w:hAnsi="Calibri"/>
                <w:b/>
                <w:color w:val="000000"/>
                <w:kern w:val="0"/>
                <w:sz w:val="18"/>
                <w:szCs w:val="18"/>
              </w:rPr>
              <w:t>LIABILITIES</w:t>
            </w:r>
          </w:p>
        </w:tc>
        <w:tc>
          <w:tcPr>
            <w:tcW w:w="960" w:type="dxa"/>
            <w:tcBorders>
              <w:top w:val="nil"/>
              <w:left w:val="nil"/>
              <w:bottom w:val="nil"/>
              <w:right w:val="nil"/>
            </w:tcBorders>
            <w:shd w:val="clear" w:color="auto" w:fill="auto"/>
            <w:vAlign w:val="center"/>
          </w:tcPr>
          <w:p w14:paraId="02AC2645"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2144CD28"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677F31D3"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15A768A3"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5265E7CA"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2A7A2187"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top w:val="single" w:sz="4" w:space="0" w:color="auto"/>
              <w:left w:val="nil"/>
              <w:right w:val="nil"/>
            </w:tcBorders>
            <w:vAlign w:val="center"/>
          </w:tcPr>
          <w:p w14:paraId="2A64F629" w14:textId="77777777" w:rsidR="008E0A19" w:rsidRPr="003239AE" w:rsidRDefault="008E0A19" w:rsidP="00B059BA">
            <w:pPr>
              <w:widowControl/>
              <w:spacing w:before="0" w:after="0"/>
              <w:jc w:val="right"/>
              <w:rPr>
                <w:rFonts w:ascii="Calibri" w:hAnsi="Calibri"/>
                <w:b/>
                <w:color w:val="000000"/>
                <w:kern w:val="0"/>
                <w:sz w:val="18"/>
                <w:szCs w:val="18"/>
              </w:rPr>
            </w:pPr>
          </w:p>
        </w:tc>
        <w:tc>
          <w:tcPr>
            <w:tcW w:w="1147" w:type="dxa"/>
            <w:tcBorders>
              <w:top w:val="single" w:sz="4" w:space="0" w:color="auto"/>
              <w:left w:val="nil"/>
              <w:right w:val="nil"/>
            </w:tcBorders>
            <w:shd w:val="clear" w:color="auto" w:fill="auto"/>
            <w:vAlign w:val="center"/>
          </w:tcPr>
          <w:p w14:paraId="7E444C9F" w14:textId="77777777" w:rsidR="008E0A19" w:rsidRPr="003239AE" w:rsidRDefault="008E0A19" w:rsidP="008E0A19">
            <w:pPr>
              <w:widowControl/>
              <w:spacing w:before="0" w:after="0"/>
              <w:jc w:val="right"/>
              <w:rPr>
                <w:rFonts w:ascii="Calibri" w:hAnsi="Calibri"/>
                <w:b/>
                <w:color w:val="000000"/>
                <w:kern w:val="0"/>
                <w:sz w:val="18"/>
                <w:szCs w:val="18"/>
              </w:rPr>
            </w:pPr>
          </w:p>
        </w:tc>
        <w:tc>
          <w:tcPr>
            <w:tcW w:w="320" w:type="dxa"/>
            <w:tcBorders>
              <w:top w:val="nil"/>
              <w:left w:val="nil"/>
              <w:right w:val="nil"/>
            </w:tcBorders>
            <w:shd w:val="clear" w:color="auto" w:fill="auto"/>
            <w:vAlign w:val="center"/>
          </w:tcPr>
          <w:p w14:paraId="1D3C65C7"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67E7C6EF" w14:textId="77777777" w:rsidTr="00D63E44">
        <w:trPr>
          <w:trHeight w:val="300"/>
        </w:trPr>
        <w:tc>
          <w:tcPr>
            <w:tcW w:w="4678" w:type="dxa"/>
            <w:tcBorders>
              <w:top w:val="nil"/>
              <w:left w:val="nil"/>
              <w:bottom w:val="nil"/>
              <w:right w:val="nil"/>
            </w:tcBorders>
            <w:shd w:val="clear" w:color="auto" w:fill="auto"/>
            <w:noWrap/>
            <w:vAlign w:val="center"/>
          </w:tcPr>
          <w:p w14:paraId="2FD56F8D" w14:textId="77777777" w:rsidR="008E0A19" w:rsidRPr="003239AE" w:rsidRDefault="008E0A19" w:rsidP="008E0A19">
            <w:pPr>
              <w:widowControl/>
              <w:spacing w:before="0" w:after="0"/>
              <w:jc w:val="left"/>
              <w:rPr>
                <w:rFonts w:ascii="Calibri" w:hAnsi="Calibri"/>
                <w:b/>
                <w:color w:val="000000"/>
                <w:kern w:val="0"/>
                <w:sz w:val="18"/>
                <w:szCs w:val="18"/>
              </w:rPr>
            </w:pPr>
            <w:r w:rsidRPr="00A60102">
              <w:rPr>
                <w:rFonts w:ascii="Calibri" w:hAnsi="Calibri"/>
                <w:b/>
                <w:color w:val="000000"/>
                <w:kern w:val="0"/>
                <w:sz w:val="18"/>
                <w:szCs w:val="18"/>
              </w:rPr>
              <w:t>Current liabilities</w:t>
            </w:r>
          </w:p>
        </w:tc>
        <w:tc>
          <w:tcPr>
            <w:tcW w:w="960" w:type="dxa"/>
            <w:tcBorders>
              <w:top w:val="nil"/>
              <w:left w:val="nil"/>
              <w:bottom w:val="nil"/>
              <w:right w:val="nil"/>
            </w:tcBorders>
            <w:shd w:val="clear" w:color="auto" w:fill="auto"/>
            <w:vAlign w:val="center"/>
          </w:tcPr>
          <w:p w14:paraId="2A2531BE"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6FF1FE5E"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31B84CC4"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0665D558"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0BB65827"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6D609912"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top w:val="single" w:sz="4" w:space="0" w:color="auto"/>
              <w:left w:val="nil"/>
              <w:right w:val="nil"/>
            </w:tcBorders>
            <w:vAlign w:val="center"/>
          </w:tcPr>
          <w:p w14:paraId="2DDD3DA1" w14:textId="77777777" w:rsidR="008E0A19" w:rsidRPr="003239AE" w:rsidRDefault="008E0A19" w:rsidP="00B059BA">
            <w:pPr>
              <w:widowControl/>
              <w:spacing w:before="0" w:after="0"/>
              <w:jc w:val="right"/>
              <w:rPr>
                <w:rFonts w:ascii="Calibri" w:hAnsi="Calibri"/>
                <w:b/>
                <w:color w:val="000000"/>
                <w:kern w:val="0"/>
                <w:sz w:val="18"/>
                <w:szCs w:val="18"/>
              </w:rPr>
            </w:pPr>
          </w:p>
        </w:tc>
        <w:tc>
          <w:tcPr>
            <w:tcW w:w="1147" w:type="dxa"/>
            <w:tcBorders>
              <w:top w:val="single" w:sz="4" w:space="0" w:color="auto"/>
              <w:left w:val="nil"/>
              <w:right w:val="nil"/>
            </w:tcBorders>
            <w:shd w:val="clear" w:color="auto" w:fill="auto"/>
            <w:vAlign w:val="center"/>
          </w:tcPr>
          <w:p w14:paraId="1B920728" w14:textId="77777777" w:rsidR="008E0A19" w:rsidRPr="003239AE" w:rsidRDefault="008E0A19" w:rsidP="008E0A19">
            <w:pPr>
              <w:widowControl/>
              <w:spacing w:before="0" w:after="0"/>
              <w:jc w:val="right"/>
              <w:rPr>
                <w:rFonts w:ascii="Calibri" w:hAnsi="Calibri"/>
                <w:b/>
                <w:color w:val="000000"/>
                <w:kern w:val="0"/>
                <w:sz w:val="18"/>
                <w:szCs w:val="18"/>
              </w:rPr>
            </w:pPr>
          </w:p>
        </w:tc>
        <w:tc>
          <w:tcPr>
            <w:tcW w:w="320" w:type="dxa"/>
            <w:tcBorders>
              <w:top w:val="nil"/>
              <w:left w:val="nil"/>
              <w:right w:val="nil"/>
            </w:tcBorders>
            <w:shd w:val="clear" w:color="auto" w:fill="auto"/>
            <w:vAlign w:val="center"/>
          </w:tcPr>
          <w:p w14:paraId="4C294FD0"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4AEE38AE" w14:textId="77777777" w:rsidTr="00D63E44">
        <w:trPr>
          <w:trHeight w:val="300"/>
        </w:trPr>
        <w:tc>
          <w:tcPr>
            <w:tcW w:w="4678" w:type="dxa"/>
            <w:tcBorders>
              <w:top w:val="nil"/>
              <w:left w:val="nil"/>
              <w:bottom w:val="nil"/>
              <w:right w:val="nil"/>
            </w:tcBorders>
            <w:shd w:val="clear" w:color="auto" w:fill="auto"/>
            <w:noWrap/>
            <w:vAlign w:val="center"/>
          </w:tcPr>
          <w:p w14:paraId="41C7C000" w14:textId="77777777" w:rsidR="008E0A19" w:rsidRPr="00EF082E" w:rsidRDefault="008E0A19" w:rsidP="008E0A19">
            <w:pPr>
              <w:widowControl/>
              <w:spacing w:before="0" w:after="0"/>
              <w:jc w:val="left"/>
              <w:rPr>
                <w:rFonts w:ascii="Calibri" w:hAnsi="Calibri"/>
                <w:bCs/>
                <w:color w:val="000000"/>
                <w:kern w:val="0"/>
                <w:sz w:val="18"/>
                <w:szCs w:val="18"/>
              </w:rPr>
            </w:pPr>
            <w:r w:rsidRPr="003239AE">
              <w:rPr>
                <w:rFonts w:ascii="Calibri" w:hAnsi="Calibri"/>
                <w:color w:val="000000"/>
                <w:kern w:val="0"/>
                <w:sz w:val="18"/>
                <w:szCs w:val="18"/>
              </w:rPr>
              <w:t>Trade and other payables</w:t>
            </w:r>
          </w:p>
        </w:tc>
        <w:tc>
          <w:tcPr>
            <w:tcW w:w="960" w:type="dxa"/>
            <w:tcBorders>
              <w:top w:val="nil"/>
              <w:left w:val="nil"/>
              <w:bottom w:val="nil"/>
              <w:right w:val="nil"/>
            </w:tcBorders>
            <w:shd w:val="clear" w:color="auto" w:fill="auto"/>
            <w:vAlign w:val="center"/>
          </w:tcPr>
          <w:p w14:paraId="271D9F89"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367E14F3"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1DF68160"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14CE0436"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3E845845" w14:textId="77777777" w:rsidR="008E0A19" w:rsidRPr="003239AE" w:rsidRDefault="008E0A19" w:rsidP="008E0A19">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7</w:t>
            </w:r>
          </w:p>
        </w:tc>
        <w:tc>
          <w:tcPr>
            <w:tcW w:w="236" w:type="dxa"/>
            <w:tcBorders>
              <w:left w:val="nil"/>
              <w:bottom w:val="nil"/>
              <w:right w:val="nil"/>
            </w:tcBorders>
            <w:shd w:val="clear" w:color="auto" w:fill="auto"/>
            <w:vAlign w:val="center"/>
          </w:tcPr>
          <w:p w14:paraId="763B21EF"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left w:val="nil"/>
              <w:right w:val="nil"/>
            </w:tcBorders>
            <w:vAlign w:val="center"/>
          </w:tcPr>
          <w:p w14:paraId="5591C9FB" w14:textId="01F7E621" w:rsidR="008E0A19" w:rsidRPr="00EF082E" w:rsidRDefault="00554E67" w:rsidP="00B059BA">
            <w:pPr>
              <w:widowControl/>
              <w:spacing w:before="0" w:after="0"/>
              <w:jc w:val="right"/>
              <w:rPr>
                <w:rFonts w:ascii="Calibri" w:hAnsi="Calibri"/>
                <w:bCs/>
                <w:color w:val="000000"/>
                <w:kern w:val="0"/>
                <w:sz w:val="18"/>
                <w:szCs w:val="18"/>
              </w:rPr>
            </w:pPr>
            <w:r>
              <w:rPr>
                <w:rFonts w:ascii="Calibri" w:hAnsi="Calibri"/>
                <w:color w:val="000000"/>
                <w:kern w:val="0"/>
                <w:sz w:val="18"/>
                <w:szCs w:val="18"/>
              </w:rPr>
              <w:t>48,89</w:t>
            </w:r>
            <w:r w:rsidR="00E1461E">
              <w:rPr>
                <w:rFonts w:ascii="Calibri" w:hAnsi="Calibri"/>
                <w:color w:val="000000"/>
                <w:kern w:val="0"/>
                <w:sz w:val="18"/>
                <w:szCs w:val="18"/>
              </w:rPr>
              <w:t>7</w:t>
            </w:r>
          </w:p>
        </w:tc>
        <w:tc>
          <w:tcPr>
            <w:tcW w:w="1147" w:type="dxa"/>
            <w:tcBorders>
              <w:left w:val="nil"/>
              <w:right w:val="nil"/>
            </w:tcBorders>
            <w:shd w:val="clear" w:color="auto" w:fill="auto"/>
            <w:vAlign w:val="center"/>
          </w:tcPr>
          <w:p w14:paraId="54FE7B46" w14:textId="77777777" w:rsidR="008E0A19" w:rsidRPr="00EF082E" w:rsidRDefault="008E0A19" w:rsidP="008E0A19">
            <w:pPr>
              <w:widowControl/>
              <w:spacing w:before="0" w:after="0"/>
              <w:jc w:val="right"/>
              <w:rPr>
                <w:rFonts w:ascii="Calibri" w:hAnsi="Calibri"/>
                <w:bCs/>
                <w:color w:val="000000"/>
                <w:kern w:val="0"/>
                <w:sz w:val="18"/>
                <w:szCs w:val="18"/>
              </w:rPr>
            </w:pPr>
            <w:r>
              <w:rPr>
                <w:rFonts w:ascii="Calibri" w:hAnsi="Calibri"/>
                <w:color w:val="000000"/>
                <w:kern w:val="0"/>
                <w:sz w:val="18"/>
                <w:szCs w:val="18"/>
              </w:rPr>
              <w:t>27,554</w:t>
            </w:r>
          </w:p>
        </w:tc>
        <w:tc>
          <w:tcPr>
            <w:tcW w:w="320" w:type="dxa"/>
            <w:tcBorders>
              <w:top w:val="nil"/>
              <w:left w:val="nil"/>
              <w:right w:val="nil"/>
            </w:tcBorders>
            <w:shd w:val="clear" w:color="auto" w:fill="auto"/>
            <w:vAlign w:val="center"/>
          </w:tcPr>
          <w:p w14:paraId="41CC0525"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14F52829" w14:textId="77777777" w:rsidTr="00D63E44">
        <w:trPr>
          <w:trHeight w:val="300"/>
        </w:trPr>
        <w:tc>
          <w:tcPr>
            <w:tcW w:w="4678" w:type="dxa"/>
            <w:tcBorders>
              <w:top w:val="nil"/>
              <w:left w:val="nil"/>
              <w:bottom w:val="nil"/>
              <w:right w:val="nil"/>
            </w:tcBorders>
            <w:shd w:val="clear" w:color="auto" w:fill="auto"/>
            <w:noWrap/>
            <w:vAlign w:val="center"/>
          </w:tcPr>
          <w:p w14:paraId="300135B1" w14:textId="77777777" w:rsidR="008E0A19" w:rsidRPr="00A60102" w:rsidRDefault="008E0A19" w:rsidP="008E0A19">
            <w:pPr>
              <w:widowControl/>
              <w:spacing w:before="0" w:after="0"/>
              <w:jc w:val="left"/>
              <w:rPr>
                <w:rFonts w:ascii="Calibri" w:hAnsi="Calibri"/>
                <w:b/>
                <w:color w:val="000000"/>
                <w:kern w:val="0"/>
                <w:sz w:val="18"/>
                <w:szCs w:val="18"/>
              </w:rPr>
            </w:pPr>
            <w:r>
              <w:rPr>
                <w:rFonts w:ascii="Calibri" w:hAnsi="Calibri"/>
                <w:color w:val="000000"/>
                <w:kern w:val="0"/>
                <w:sz w:val="18"/>
                <w:szCs w:val="18"/>
              </w:rPr>
              <w:t>Borrowings</w:t>
            </w:r>
          </w:p>
        </w:tc>
        <w:tc>
          <w:tcPr>
            <w:tcW w:w="960" w:type="dxa"/>
            <w:tcBorders>
              <w:top w:val="nil"/>
              <w:left w:val="nil"/>
              <w:bottom w:val="nil"/>
              <w:right w:val="nil"/>
            </w:tcBorders>
            <w:shd w:val="clear" w:color="auto" w:fill="auto"/>
            <w:vAlign w:val="center"/>
          </w:tcPr>
          <w:p w14:paraId="39758FE8"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6E1E917E"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25C0834A"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657972BD"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7F33BA16" w14:textId="77777777" w:rsidR="008E0A19" w:rsidRPr="003239AE" w:rsidRDefault="008E0A19" w:rsidP="008E0A19">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8</w:t>
            </w:r>
          </w:p>
        </w:tc>
        <w:tc>
          <w:tcPr>
            <w:tcW w:w="236" w:type="dxa"/>
            <w:tcBorders>
              <w:left w:val="nil"/>
              <w:bottom w:val="nil"/>
              <w:right w:val="nil"/>
            </w:tcBorders>
            <w:shd w:val="clear" w:color="auto" w:fill="auto"/>
            <w:vAlign w:val="center"/>
          </w:tcPr>
          <w:p w14:paraId="7E76E0BD"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left w:val="nil"/>
              <w:bottom w:val="single" w:sz="4" w:space="0" w:color="auto"/>
              <w:right w:val="nil"/>
            </w:tcBorders>
            <w:vAlign w:val="center"/>
          </w:tcPr>
          <w:p w14:paraId="3198B184" w14:textId="77777777" w:rsidR="008E0A19" w:rsidRPr="003239AE" w:rsidRDefault="00B059BA" w:rsidP="00B059BA">
            <w:pPr>
              <w:widowControl/>
              <w:spacing w:before="0" w:after="0"/>
              <w:jc w:val="right"/>
              <w:rPr>
                <w:rFonts w:ascii="Calibri" w:hAnsi="Calibri"/>
                <w:b/>
                <w:color w:val="000000"/>
                <w:kern w:val="0"/>
                <w:sz w:val="18"/>
                <w:szCs w:val="18"/>
              </w:rPr>
            </w:pPr>
            <w:r>
              <w:rPr>
                <w:rFonts w:ascii="Calibri" w:hAnsi="Calibri"/>
                <w:color w:val="000000"/>
                <w:kern w:val="0"/>
                <w:sz w:val="18"/>
                <w:szCs w:val="18"/>
              </w:rPr>
              <w:t>10,469</w:t>
            </w:r>
          </w:p>
        </w:tc>
        <w:tc>
          <w:tcPr>
            <w:tcW w:w="1147" w:type="dxa"/>
            <w:tcBorders>
              <w:left w:val="nil"/>
              <w:bottom w:val="single" w:sz="4" w:space="0" w:color="auto"/>
              <w:right w:val="nil"/>
            </w:tcBorders>
            <w:shd w:val="clear" w:color="auto" w:fill="auto"/>
            <w:vAlign w:val="center"/>
          </w:tcPr>
          <w:p w14:paraId="49DEDC5C" w14:textId="77777777" w:rsidR="008E0A19" w:rsidRPr="003239AE" w:rsidRDefault="008E0A19" w:rsidP="008E0A19">
            <w:pPr>
              <w:widowControl/>
              <w:spacing w:before="0" w:after="0"/>
              <w:jc w:val="right"/>
              <w:rPr>
                <w:rFonts w:ascii="Calibri" w:hAnsi="Calibri"/>
                <w:b/>
                <w:color w:val="000000"/>
                <w:kern w:val="0"/>
                <w:sz w:val="18"/>
                <w:szCs w:val="18"/>
              </w:rPr>
            </w:pPr>
            <w:r>
              <w:rPr>
                <w:rFonts w:ascii="Calibri" w:hAnsi="Calibri"/>
                <w:color w:val="000000"/>
                <w:kern w:val="0"/>
                <w:sz w:val="18"/>
                <w:szCs w:val="18"/>
              </w:rPr>
              <w:t>10,469</w:t>
            </w:r>
          </w:p>
        </w:tc>
        <w:tc>
          <w:tcPr>
            <w:tcW w:w="320" w:type="dxa"/>
            <w:tcBorders>
              <w:top w:val="nil"/>
              <w:left w:val="nil"/>
              <w:right w:val="nil"/>
            </w:tcBorders>
            <w:shd w:val="clear" w:color="auto" w:fill="auto"/>
            <w:vAlign w:val="center"/>
          </w:tcPr>
          <w:p w14:paraId="05B8933C"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18FC35F9" w14:textId="77777777" w:rsidTr="00D63E44">
        <w:trPr>
          <w:trHeight w:val="300"/>
        </w:trPr>
        <w:tc>
          <w:tcPr>
            <w:tcW w:w="4678" w:type="dxa"/>
            <w:tcBorders>
              <w:top w:val="nil"/>
              <w:left w:val="nil"/>
              <w:bottom w:val="nil"/>
              <w:right w:val="nil"/>
            </w:tcBorders>
            <w:shd w:val="clear" w:color="auto" w:fill="auto"/>
            <w:noWrap/>
            <w:vAlign w:val="center"/>
          </w:tcPr>
          <w:p w14:paraId="1C126BB0" w14:textId="77777777" w:rsidR="008E0A19" w:rsidRPr="00A60102" w:rsidRDefault="008E0A19" w:rsidP="008E0A19">
            <w:pPr>
              <w:widowControl/>
              <w:spacing w:before="0" w:after="0"/>
              <w:jc w:val="left"/>
              <w:rPr>
                <w:rFonts w:ascii="Calibri" w:hAnsi="Calibri"/>
                <w:b/>
                <w:color w:val="000000"/>
                <w:kern w:val="0"/>
                <w:sz w:val="18"/>
                <w:szCs w:val="18"/>
              </w:rPr>
            </w:pPr>
            <w:r w:rsidRPr="00A60102">
              <w:rPr>
                <w:rFonts w:ascii="Calibri" w:hAnsi="Calibri"/>
                <w:b/>
                <w:bCs/>
                <w:color w:val="000000"/>
                <w:kern w:val="0"/>
                <w:sz w:val="18"/>
                <w:szCs w:val="18"/>
              </w:rPr>
              <w:t>Total current liabilities</w:t>
            </w:r>
          </w:p>
        </w:tc>
        <w:tc>
          <w:tcPr>
            <w:tcW w:w="960" w:type="dxa"/>
            <w:tcBorders>
              <w:top w:val="nil"/>
              <w:left w:val="nil"/>
              <w:bottom w:val="nil"/>
              <w:right w:val="nil"/>
            </w:tcBorders>
            <w:shd w:val="clear" w:color="auto" w:fill="auto"/>
            <w:vAlign w:val="center"/>
          </w:tcPr>
          <w:p w14:paraId="09B9FAA9"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3ED1CFF4"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1223A414"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7C5A3DF9"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2D0867D4" w14:textId="77777777" w:rsidR="008E0A19" w:rsidRPr="003239AE" w:rsidRDefault="008E0A19" w:rsidP="008E0A19">
            <w:pPr>
              <w:widowControl/>
              <w:spacing w:before="0" w:after="0"/>
              <w:jc w:val="right"/>
              <w:rPr>
                <w:rFonts w:ascii="Calibri" w:hAnsi="Calibri"/>
                <w:b/>
                <w:color w:val="000000"/>
                <w:kern w:val="0"/>
                <w:sz w:val="18"/>
                <w:szCs w:val="18"/>
              </w:rPr>
            </w:pPr>
          </w:p>
        </w:tc>
        <w:tc>
          <w:tcPr>
            <w:tcW w:w="236" w:type="dxa"/>
            <w:tcBorders>
              <w:left w:val="nil"/>
              <w:bottom w:val="nil"/>
              <w:right w:val="nil"/>
            </w:tcBorders>
            <w:shd w:val="clear" w:color="auto" w:fill="auto"/>
            <w:vAlign w:val="center"/>
          </w:tcPr>
          <w:p w14:paraId="3683F8EC" w14:textId="77777777" w:rsidR="008E0A19" w:rsidRPr="003239AE" w:rsidRDefault="008E0A19" w:rsidP="008E0A19">
            <w:pPr>
              <w:widowControl/>
              <w:spacing w:before="0" w:after="0"/>
              <w:jc w:val="right"/>
              <w:rPr>
                <w:rFonts w:ascii="Calibri" w:hAnsi="Calibri"/>
                <w:b/>
                <w:color w:val="000000"/>
                <w:kern w:val="0"/>
                <w:sz w:val="18"/>
                <w:szCs w:val="18"/>
              </w:rPr>
            </w:pPr>
          </w:p>
        </w:tc>
        <w:tc>
          <w:tcPr>
            <w:tcW w:w="1115" w:type="dxa"/>
            <w:tcBorders>
              <w:left w:val="nil"/>
              <w:bottom w:val="single" w:sz="4" w:space="0" w:color="auto"/>
              <w:right w:val="nil"/>
            </w:tcBorders>
            <w:vAlign w:val="center"/>
          </w:tcPr>
          <w:p w14:paraId="7FF14574" w14:textId="1E441E56" w:rsidR="008E0A19" w:rsidRPr="003239AE" w:rsidRDefault="00554E67" w:rsidP="00B059BA">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59,36</w:t>
            </w:r>
            <w:r w:rsidR="00E1461E">
              <w:rPr>
                <w:rFonts w:ascii="Calibri" w:hAnsi="Calibri"/>
                <w:b/>
                <w:bCs/>
                <w:color w:val="000000"/>
                <w:kern w:val="0"/>
                <w:sz w:val="18"/>
                <w:szCs w:val="18"/>
              </w:rPr>
              <w:t>6</w:t>
            </w:r>
          </w:p>
        </w:tc>
        <w:tc>
          <w:tcPr>
            <w:tcW w:w="1147" w:type="dxa"/>
            <w:tcBorders>
              <w:left w:val="nil"/>
              <w:bottom w:val="single" w:sz="4" w:space="0" w:color="auto"/>
              <w:right w:val="nil"/>
            </w:tcBorders>
            <w:shd w:val="clear" w:color="auto" w:fill="auto"/>
            <w:vAlign w:val="center"/>
          </w:tcPr>
          <w:p w14:paraId="66027D88" w14:textId="77777777" w:rsidR="008E0A19" w:rsidRPr="003239AE" w:rsidRDefault="008E0A19" w:rsidP="008E0A19">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38,023</w:t>
            </w:r>
          </w:p>
        </w:tc>
        <w:tc>
          <w:tcPr>
            <w:tcW w:w="320" w:type="dxa"/>
            <w:tcBorders>
              <w:top w:val="nil"/>
              <w:left w:val="nil"/>
              <w:right w:val="nil"/>
            </w:tcBorders>
            <w:shd w:val="clear" w:color="auto" w:fill="auto"/>
            <w:vAlign w:val="center"/>
          </w:tcPr>
          <w:p w14:paraId="0896B722" w14:textId="77777777" w:rsidR="008E0A19" w:rsidRPr="003239AE" w:rsidRDefault="008E0A19" w:rsidP="008E0A19">
            <w:pPr>
              <w:widowControl/>
              <w:spacing w:before="0" w:after="0"/>
              <w:jc w:val="right"/>
              <w:rPr>
                <w:rFonts w:ascii="Calibri" w:hAnsi="Calibri"/>
                <w:b/>
                <w:color w:val="000000"/>
                <w:kern w:val="0"/>
                <w:sz w:val="18"/>
                <w:szCs w:val="18"/>
              </w:rPr>
            </w:pPr>
          </w:p>
        </w:tc>
      </w:tr>
      <w:tr w:rsidR="008E0A19" w:rsidRPr="007179CD" w14:paraId="2970D39C" w14:textId="77777777" w:rsidTr="00D63E44">
        <w:trPr>
          <w:trHeight w:val="300"/>
        </w:trPr>
        <w:tc>
          <w:tcPr>
            <w:tcW w:w="4678" w:type="dxa"/>
            <w:tcBorders>
              <w:top w:val="nil"/>
              <w:left w:val="nil"/>
              <w:bottom w:val="nil"/>
              <w:right w:val="nil"/>
            </w:tcBorders>
            <w:shd w:val="clear" w:color="auto" w:fill="auto"/>
            <w:noWrap/>
            <w:vAlign w:val="center"/>
          </w:tcPr>
          <w:p w14:paraId="1EAF41CA" w14:textId="77777777" w:rsidR="008E0A19" w:rsidRPr="003239AE" w:rsidRDefault="008E0A19" w:rsidP="008E0A19">
            <w:pPr>
              <w:widowControl/>
              <w:spacing w:before="0" w:after="0"/>
              <w:jc w:val="left"/>
              <w:rPr>
                <w:rFonts w:ascii="Calibri" w:hAnsi="Calibri"/>
                <w:color w:val="000000"/>
                <w:kern w:val="0"/>
                <w:sz w:val="18"/>
                <w:szCs w:val="18"/>
              </w:rPr>
            </w:pPr>
          </w:p>
        </w:tc>
        <w:tc>
          <w:tcPr>
            <w:tcW w:w="960" w:type="dxa"/>
            <w:tcBorders>
              <w:top w:val="nil"/>
              <w:left w:val="nil"/>
              <w:bottom w:val="nil"/>
              <w:right w:val="nil"/>
            </w:tcBorders>
            <w:shd w:val="clear" w:color="auto" w:fill="auto"/>
            <w:vAlign w:val="center"/>
          </w:tcPr>
          <w:p w14:paraId="447B9BEE"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5519C01E"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57EC23C0"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19246953"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24E95033" w14:textId="77777777" w:rsidR="008E0A19" w:rsidRPr="00737882" w:rsidRDefault="008E0A19" w:rsidP="008E0A19">
            <w:pPr>
              <w:widowControl/>
              <w:spacing w:before="0" w:after="0"/>
              <w:jc w:val="right"/>
              <w:rPr>
                <w:rFonts w:ascii="Calibri" w:hAnsi="Calibri"/>
                <w:b/>
                <w:bCs/>
                <w:color w:val="000000"/>
                <w:kern w:val="0"/>
                <w:sz w:val="18"/>
                <w:szCs w:val="18"/>
              </w:rPr>
            </w:pPr>
          </w:p>
        </w:tc>
        <w:tc>
          <w:tcPr>
            <w:tcW w:w="236" w:type="dxa"/>
            <w:tcBorders>
              <w:left w:val="nil"/>
              <w:bottom w:val="nil"/>
              <w:right w:val="nil"/>
            </w:tcBorders>
            <w:shd w:val="clear" w:color="auto" w:fill="auto"/>
            <w:vAlign w:val="center"/>
          </w:tcPr>
          <w:p w14:paraId="25B66D1A" w14:textId="77777777" w:rsidR="008E0A19" w:rsidRPr="003239AE" w:rsidRDefault="008E0A19" w:rsidP="008E0A19">
            <w:pPr>
              <w:widowControl/>
              <w:spacing w:before="0" w:after="0"/>
              <w:jc w:val="right"/>
              <w:rPr>
                <w:rFonts w:ascii="Calibri" w:hAnsi="Calibri"/>
                <w:color w:val="000000"/>
                <w:kern w:val="0"/>
                <w:sz w:val="18"/>
                <w:szCs w:val="18"/>
              </w:rPr>
            </w:pPr>
          </w:p>
        </w:tc>
        <w:tc>
          <w:tcPr>
            <w:tcW w:w="1115" w:type="dxa"/>
            <w:tcBorders>
              <w:left w:val="nil"/>
              <w:bottom w:val="single" w:sz="4" w:space="0" w:color="auto"/>
              <w:right w:val="nil"/>
            </w:tcBorders>
            <w:vAlign w:val="center"/>
          </w:tcPr>
          <w:p w14:paraId="6284373D" w14:textId="77777777" w:rsidR="008E0A19" w:rsidRPr="003239AE" w:rsidRDefault="008E0A19" w:rsidP="00B059BA">
            <w:pPr>
              <w:widowControl/>
              <w:spacing w:before="0" w:after="0"/>
              <w:jc w:val="right"/>
              <w:rPr>
                <w:rFonts w:ascii="Calibri" w:hAnsi="Calibri"/>
                <w:color w:val="000000"/>
                <w:kern w:val="0"/>
                <w:sz w:val="18"/>
                <w:szCs w:val="18"/>
              </w:rPr>
            </w:pPr>
          </w:p>
        </w:tc>
        <w:tc>
          <w:tcPr>
            <w:tcW w:w="1147" w:type="dxa"/>
            <w:tcBorders>
              <w:left w:val="nil"/>
              <w:bottom w:val="single" w:sz="4" w:space="0" w:color="auto"/>
              <w:right w:val="nil"/>
            </w:tcBorders>
            <w:shd w:val="clear" w:color="auto" w:fill="auto"/>
            <w:vAlign w:val="center"/>
          </w:tcPr>
          <w:p w14:paraId="0548133A" w14:textId="77777777" w:rsidR="008E0A19" w:rsidRPr="003239AE" w:rsidRDefault="008E0A19" w:rsidP="008E0A19">
            <w:pPr>
              <w:widowControl/>
              <w:spacing w:before="0" w:after="0"/>
              <w:jc w:val="right"/>
              <w:rPr>
                <w:rFonts w:ascii="Calibri" w:hAnsi="Calibri"/>
                <w:color w:val="000000"/>
                <w:kern w:val="0"/>
                <w:sz w:val="18"/>
                <w:szCs w:val="18"/>
              </w:rPr>
            </w:pPr>
          </w:p>
        </w:tc>
        <w:tc>
          <w:tcPr>
            <w:tcW w:w="320" w:type="dxa"/>
            <w:tcBorders>
              <w:left w:val="nil"/>
              <w:bottom w:val="nil"/>
              <w:right w:val="nil"/>
            </w:tcBorders>
            <w:shd w:val="clear" w:color="auto" w:fill="auto"/>
            <w:vAlign w:val="center"/>
          </w:tcPr>
          <w:p w14:paraId="39165969" w14:textId="77777777" w:rsidR="008E0A19" w:rsidRPr="003239AE" w:rsidRDefault="008E0A19" w:rsidP="008E0A19">
            <w:pPr>
              <w:widowControl/>
              <w:spacing w:before="0" w:after="0"/>
              <w:jc w:val="right"/>
              <w:rPr>
                <w:rFonts w:ascii="Calibri" w:hAnsi="Calibri"/>
                <w:color w:val="000000"/>
                <w:kern w:val="0"/>
                <w:sz w:val="18"/>
                <w:szCs w:val="18"/>
              </w:rPr>
            </w:pPr>
          </w:p>
        </w:tc>
      </w:tr>
      <w:tr w:rsidR="008E0A19" w:rsidRPr="007179CD" w14:paraId="5B030CAD" w14:textId="77777777" w:rsidTr="00D63E44">
        <w:trPr>
          <w:trHeight w:val="300"/>
        </w:trPr>
        <w:tc>
          <w:tcPr>
            <w:tcW w:w="4678" w:type="dxa"/>
            <w:tcBorders>
              <w:top w:val="nil"/>
              <w:left w:val="nil"/>
              <w:bottom w:val="nil"/>
              <w:right w:val="nil"/>
            </w:tcBorders>
            <w:shd w:val="clear" w:color="auto" w:fill="auto"/>
            <w:noWrap/>
            <w:vAlign w:val="center"/>
          </w:tcPr>
          <w:p w14:paraId="6872BF91" w14:textId="77777777" w:rsidR="008E0A19" w:rsidRPr="003239AE" w:rsidRDefault="008E0A19" w:rsidP="008E0A19">
            <w:pPr>
              <w:widowControl/>
              <w:spacing w:before="0" w:after="0"/>
              <w:jc w:val="left"/>
              <w:rPr>
                <w:rFonts w:ascii="Calibri" w:hAnsi="Calibri"/>
                <w:color w:val="000000"/>
                <w:kern w:val="0"/>
                <w:sz w:val="18"/>
                <w:szCs w:val="18"/>
              </w:rPr>
            </w:pPr>
            <w:r w:rsidRPr="003239AE">
              <w:rPr>
                <w:rFonts w:ascii="Calibri" w:hAnsi="Calibri"/>
                <w:b/>
                <w:color w:val="000000"/>
                <w:kern w:val="0"/>
                <w:sz w:val="18"/>
                <w:szCs w:val="18"/>
              </w:rPr>
              <w:t>Total liabilities</w:t>
            </w:r>
          </w:p>
        </w:tc>
        <w:tc>
          <w:tcPr>
            <w:tcW w:w="960" w:type="dxa"/>
            <w:tcBorders>
              <w:top w:val="nil"/>
              <w:left w:val="nil"/>
              <w:bottom w:val="nil"/>
              <w:right w:val="nil"/>
            </w:tcBorders>
            <w:shd w:val="clear" w:color="auto" w:fill="auto"/>
            <w:vAlign w:val="center"/>
          </w:tcPr>
          <w:p w14:paraId="152C0AD9" w14:textId="77777777" w:rsidR="008E0A19" w:rsidRPr="003239AE"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55A8F342" w14:textId="77777777" w:rsidR="008E0A19" w:rsidRPr="003239AE"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4D890F4E" w14:textId="77777777" w:rsidR="008E0A19" w:rsidRPr="003239AE" w:rsidDel="009B1B87" w:rsidRDefault="008E0A19" w:rsidP="008E0A19">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1E1D057F" w14:textId="77777777" w:rsidR="008E0A19" w:rsidRPr="003239AE" w:rsidRDefault="008E0A19" w:rsidP="008E0A19">
            <w:pPr>
              <w:widowControl/>
              <w:spacing w:before="0" w:after="0"/>
              <w:jc w:val="right"/>
              <w:rPr>
                <w:rFonts w:ascii="Calibri" w:hAnsi="Calibri"/>
                <w:b/>
                <w:color w:val="000000"/>
                <w:kern w:val="0"/>
                <w:sz w:val="18"/>
                <w:szCs w:val="18"/>
              </w:rPr>
            </w:pPr>
          </w:p>
        </w:tc>
        <w:tc>
          <w:tcPr>
            <w:tcW w:w="678" w:type="dxa"/>
            <w:tcBorders>
              <w:left w:val="nil"/>
              <w:bottom w:val="nil"/>
              <w:right w:val="nil"/>
            </w:tcBorders>
            <w:shd w:val="clear" w:color="auto" w:fill="auto"/>
            <w:vAlign w:val="center"/>
          </w:tcPr>
          <w:p w14:paraId="5A688AAA" w14:textId="77777777" w:rsidR="008E0A19" w:rsidRDefault="008E0A19" w:rsidP="008E0A19">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779C7811" w14:textId="77777777" w:rsidR="008E0A19" w:rsidRPr="003239AE" w:rsidRDefault="008E0A19" w:rsidP="008E0A19">
            <w:pPr>
              <w:widowControl/>
              <w:spacing w:before="0" w:after="0"/>
              <w:jc w:val="right"/>
              <w:rPr>
                <w:rFonts w:ascii="Calibri" w:hAnsi="Calibri"/>
                <w:color w:val="000000"/>
                <w:kern w:val="0"/>
                <w:sz w:val="18"/>
                <w:szCs w:val="18"/>
              </w:rPr>
            </w:pPr>
          </w:p>
        </w:tc>
        <w:tc>
          <w:tcPr>
            <w:tcW w:w="1115" w:type="dxa"/>
            <w:tcBorders>
              <w:top w:val="single" w:sz="4" w:space="0" w:color="auto"/>
              <w:left w:val="nil"/>
              <w:bottom w:val="nil"/>
              <w:right w:val="nil"/>
            </w:tcBorders>
            <w:vAlign w:val="center"/>
          </w:tcPr>
          <w:p w14:paraId="48B71BFC" w14:textId="364C9260" w:rsidR="008E0A19" w:rsidRDefault="00554E67" w:rsidP="00B059BA">
            <w:pPr>
              <w:widowControl/>
              <w:spacing w:before="0" w:after="0"/>
              <w:jc w:val="right"/>
              <w:rPr>
                <w:rFonts w:ascii="Calibri" w:hAnsi="Calibri"/>
                <w:color w:val="000000"/>
                <w:kern w:val="0"/>
                <w:sz w:val="18"/>
                <w:szCs w:val="18"/>
              </w:rPr>
            </w:pPr>
            <w:r>
              <w:rPr>
                <w:rFonts w:ascii="Calibri" w:hAnsi="Calibri"/>
                <w:b/>
                <w:color w:val="000000"/>
                <w:kern w:val="0"/>
                <w:sz w:val="18"/>
                <w:szCs w:val="18"/>
              </w:rPr>
              <w:t>59,367</w:t>
            </w:r>
          </w:p>
        </w:tc>
        <w:tc>
          <w:tcPr>
            <w:tcW w:w="1147" w:type="dxa"/>
            <w:tcBorders>
              <w:top w:val="single" w:sz="4" w:space="0" w:color="auto"/>
              <w:left w:val="nil"/>
              <w:bottom w:val="nil"/>
              <w:right w:val="nil"/>
            </w:tcBorders>
            <w:shd w:val="clear" w:color="auto" w:fill="auto"/>
            <w:vAlign w:val="center"/>
          </w:tcPr>
          <w:p w14:paraId="33B97D78" w14:textId="77777777" w:rsidR="008E0A19" w:rsidRDefault="008E0A19" w:rsidP="008E0A19">
            <w:pPr>
              <w:widowControl/>
              <w:spacing w:before="0" w:after="0"/>
              <w:jc w:val="right"/>
              <w:rPr>
                <w:rFonts w:ascii="Calibri" w:hAnsi="Calibri"/>
                <w:color w:val="000000"/>
                <w:kern w:val="0"/>
                <w:sz w:val="18"/>
                <w:szCs w:val="18"/>
              </w:rPr>
            </w:pPr>
            <w:r>
              <w:rPr>
                <w:rFonts w:ascii="Calibri" w:hAnsi="Calibri"/>
                <w:b/>
                <w:color w:val="000000"/>
                <w:kern w:val="0"/>
                <w:sz w:val="18"/>
                <w:szCs w:val="18"/>
              </w:rPr>
              <w:t xml:space="preserve">       38,023</w:t>
            </w:r>
          </w:p>
        </w:tc>
        <w:tc>
          <w:tcPr>
            <w:tcW w:w="320" w:type="dxa"/>
            <w:tcBorders>
              <w:left w:val="nil"/>
              <w:bottom w:val="nil"/>
              <w:right w:val="nil"/>
            </w:tcBorders>
            <w:shd w:val="clear" w:color="auto" w:fill="auto"/>
            <w:vAlign w:val="center"/>
          </w:tcPr>
          <w:p w14:paraId="6E0F4626" w14:textId="77777777" w:rsidR="008E0A19" w:rsidRPr="003239AE" w:rsidRDefault="008E0A19" w:rsidP="008E0A19">
            <w:pPr>
              <w:widowControl/>
              <w:spacing w:before="0" w:after="0"/>
              <w:jc w:val="right"/>
              <w:rPr>
                <w:rFonts w:ascii="Calibri" w:hAnsi="Calibri"/>
                <w:color w:val="000000"/>
                <w:kern w:val="0"/>
                <w:sz w:val="18"/>
                <w:szCs w:val="18"/>
              </w:rPr>
            </w:pPr>
          </w:p>
        </w:tc>
      </w:tr>
      <w:tr w:rsidR="008E0A19" w:rsidRPr="007179CD" w14:paraId="2A263293" w14:textId="77777777" w:rsidTr="00D63E44">
        <w:trPr>
          <w:trHeight w:val="300"/>
        </w:trPr>
        <w:tc>
          <w:tcPr>
            <w:tcW w:w="4678" w:type="dxa"/>
            <w:tcBorders>
              <w:top w:val="nil"/>
              <w:left w:val="nil"/>
              <w:bottom w:val="nil"/>
              <w:right w:val="nil"/>
            </w:tcBorders>
            <w:shd w:val="clear" w:color="auto" w:fill="auto"/>
            <w:noWrap/>
            <w:vAlign w:val="center"/>
          </w:tcPr>
          <w:p w14:paraId="1F0A1FD7" w14:textId="77777777" w:rsidR="008E0A19" w:rsidRPr="00A60102" w:rsidRDefault="008E0A19" w:rsidP="008E0A19">
            <w:pPr>
              <w:widowControl/>
              <w:spacing w:before="0" w:after="0"/>
              <w:jc w:val="left"/>
              <w:rPr>
                <w:rFonts w:ascii="Calibri" w:hAnsi="Calibri"/>
                <w:b/>
                <w:bCs/>
                <w:color w:val="000000"/>
                <w:kern w:val="0"/>
                <w:sz w:val="18"/>
                <w:szCs w:val="18"/>
              </w:rPr>
            </w:pPr>
            <w:r w:rsidRPr="003239AE">
              <w:rPr>
                <w:rFonts w:ascii="Calibri" w:eastAsia="Times New Roman" w:hAnsi="Calibri" w:cs="Calibri"/>
                <w:b/>
                <w:bCs/>
                <w:color w:val="000000"/>
                <w:kern w:val="0"/>
                <w:sz w:val="18"/>
                <w:szCs w:val="18"/>
              </w:rPr>
              <w:t>TOTAL EQUITY AND LIABILITIES</w:t>
            </w:r>
          </w:p>
        </w:tc>
        <w:tc>
          <w:tcPr>
            <w:tcW w:w="960" w:type="dxa"/>
            <w:tcBorders>
              <w:left w:val="nil"/>
              <w:right w:val="nil"/>
            </w:tcBorders>
            <w:shd w:val="clear" w:color="auto" w:fill="auto"/>
            <w:vAlign w:val="center"/>
          </w:tcPr>
          <w:p w14:paraId="62745086" w14:textId="77777777" w:rsidR="008E0A19" w:rsidRPr="00A60102" w:rsidDel="009B1B87" w:rsidRDefault="008E0A19" w:rsidP="008E0A19">
            <w:pPr>
              <w:widowControl/>
              <w:spacing w:before="0" w:after="0"/>
              <w:jc w:val="right"/>
              <w:rPr>
                <w:rFonts w:ascii="Calibri" w:eastAsia="Times New Roman" w:hAnsi="Calibri" w:cs="Calibri"/>
                <w:b/>
                <w:bCs/>
                <w:color w:val="000000"/>
                <w:kern w:val="0"/>
                <w:sz w:val="18"/>
                <w:szCs w:val="18"/>
              </w:rPr>
            </w:pPr>
          </w:p>
        </w:tc>
        <w:tc>
          <w:tcPr>
            <w:tcW w:w="300" w:type="dxa"/>
            <w:tcBorders>
              <w:left w:val="nil"/>
              <w:right w:val="nil"/>
            </w:tcBorders>
            <w:shd w:val="clear" w:color="auto" w:fill="auto"/>
            <w:vAlign w:val="center"/>
          </w:tcPr>
          <w:p w14:paraId="23420138" w14:textId="77777777" w:rsidR="008E0A19" w:rsidRPr="00A60102" w:rsidRDefault="008E0A19" w:rsidP="008E0A19">
            <w:pPr>
              <w:widowControl/>
              <w:spacing w:before="0" w:after="0"/>
              <w:jc w:val="right"/>
              <w:rPr>
                <w:rFonts w:ascii="Calibri" w:eastAsia="Times New Roman" w:hAnsi="Calibri" w:cs="Calibri"/>
                <w:b/>
                <w:bCs/>
                <w:color w:val="000000"/>
                <w:kern w:val="0"/>
                <w:sz w:val="18"/>
                <w:szCs w:val="18"/>
              </w:rPr>
            </w:pPr>
          </w:p>
        </w:tc>
        <w:tc>
          <w:tcPr>
            <w:tcW w:w="236" w:type="dxa"/>
            <w:tcBorders>
              <w:left w:val="nil"/>
              <w:right w:val="nil"/>
            </w:tcBorders>
            <w:shd w:val="clear" w:color="auto" w:fill="auto"/>
            <w:vAlign w:val="center"/>
          </w:tcPr>
          <w:p w14:paraId="36358155" w14:textId="77777777" w:rsidR="008E0A19" w:rsidRPr="00A60102" w:rsidDel="009B1B87" w:rsidRDefault="008E0A19" w:rsidP="008E0A19">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3DAF785D" w14:textId="77777777" w:rsidR="008E0A19" w:rsidRPr="00A60102" w:rsidRDefault="008E0A19" w:rsidP="008E0A19">
            <w:pPr>
              <w:widowControl/>
              <w:spacing w:before="0" w:after="0"/>
              <w:jc w:val="right"/>
              <w:rPr>
                <w:rFonts w:ascii="Calibri" w:hAnsi="Calibri"/>
                <w:b/>
                <w:bCs/>
                <w:color w:val="000000"/>
                <w:kern w:val="0"/>
                <w:sz w:val="18"/>
                <w:szCs w:val="18"/>
              </w:rPr>
            </w:pPr>
          </w:p>
        </w:tc>
        <w:tc>
          <w:tcPr>
            <w:tcW w:w="678" w:type="dxa"/>
            <w:tcBorders>
              <w:left w:val="nil"/>
              <w:right w:val="nil"/>
            </w:tcBorders>
            <w:shd w:val="clear" w:color="auto" w:fill="auto"/>
            <w:vAlign w:val="center"/>
          </w:tcPr>
          <w:p w14:paraId="0FA96380" w14:textId="77777777" w:rsidR="008E0A19" w:rsidRPr="00A60102" w:rsidRDefault="008E0A19" w:rsidP="008E0A19">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705AE590" w14:textId="77777777" w:rsidR="008E0A19" w:rsidRPr="00A60102" w:rsidRDefault="008E0A19" w:rsidP="008E0A19">
            <w:pPr>
              <w:widowControl/>
              <w:spacing w:before="0" w:after="0"/>
              <w:jc w:val="right"/>
              <w:rPr>
                <w:rFonts w:ascii="Calibri" w:hAnsi="Calibri"/>
                <w:b/>
                <w:bCs/>
                <w:color w:val="000000"/>
                <w:kern w:val="0"/>
                <w:sz w:val="18"/>
                <w:szCs w:val="18"/>
              </w:rPr>
            </w:pPr>
          </w:p>
        </w:tc>
        <w:tc>
          <w:tcPr>
            <w:tcW w:w="1115" w:type="dxa"/>
            <w:tcBorders>
              <w:top w:val="single" w:sz="8" w:space="0" w:color="auto"/>
              <w:left w:val="nil"/>
              <w:bottom w:val="double" w:sz="4" w:space="0" w:color="auto"/>
              <w:right w:val="nil"/>
            </w:tcBorders>
            <w:vAlign w:val="center"/>
          </w:tcPr>
          <w:p w14:paraId="6A25AAC3" w14:textId="32984225" w:rsidR="008E0A19" w:rsidRPr="00A60102" w:rsidRDefault="00EF0AF1" w:rsidP="00B059BA">
            <w:pPr>
              <w:widowControl/>
              <w:spacing w:before="0" w:after="0"/>
              <w:jc w:val="right"/>
              <w:rPr>
                <w:rFonts w:ascii="Calibri" w:hAnsi="Calibri"/>
                <w:b/>
                <w:bCs/>
                <w:color w:val="000000"/>
                <w:kern w:val="0"/>
                <w:sz w:val="18"/>
                <w:szCs w:val="18"/>
              </w:rPr>
            </w:pPr>
            <w:r>
              <w:rPr>
                <w:rFonts w:ascii="Calibri" w:hAnsi="Calibri"/>
                <w:b/>
                <w:color w:val="000000"/>
                <w:kern w:val="0"/>
                <w:sz w:val="18"/>
                <w:szCs w:val="18"/>
              </w:rPr>
              <w:t>70,491</w:t>
            </w:r>
          </w:p>
        </w:tc>
        <w:tc>
          <w:tcPr>
            <w:tcW w:w="1147" w:type="dxa"/>
            <w:tcBorders>
              <w:top w:val="single" w:sz="8" w:space="0" w:color="auto"/>
              <w:left w:val="nil"/>
              <w:bottom w:val="double" w:sz="4" w:space="0" w:color="auto"/>
              <w:right w:val="nil"/>
            </w:tcBorders>
            <w:shd w:val="clear" w:color="auto" w:fill="auto"/>
            <w:vAlign w:val="center"/>
          </w:tcPr>
          <w:p w14:paraId="4214F8F2" w14:textId="77777777" w:rsidR="008E0A19" w:rsidRPr="00A60102" w:rsidRDefault="008E0A19" w:rsidP="008E0A19">
            <w:pPr>
              <w:widowControl/>
              <w:spacing w:before="0" w:after="0"/>
              <w:jc w:val="right"/>
              <w:rPr>
                <w:rFonts w:ascii="Calibri" w:hAnsi="Calibri"/>
                <w:b/>
                <w:bCs/>
                <w:color w:val="000000"/>
                <w:kern w:val="0"/>
                <w:sz w:val="18"/>
                <w:szCs w:val="18"/>
              </w:rPr>
            </w:pPr>
            <w:r>
              <w:rPr>
                <w:rFonts w:ascii="Calibri" w:hAnsi="Calibri"/>
                <w:b/>
                <w:color w:val="000000"/>
                <w:kern w:val="0"/>
                <w:sz w:val="18"/>
                <w:szCs w:val="18"/>
              </w:rPr>
              <w:t xml:space="preserve">     208,623</w:t>
            </w:r>
          </w:p>
        </w:tc>
        <w:tc>
          <w:tcPr>
            <w:tcW w:w="320" w:type="dxa"/>
            <w:tcBorders>
              <w:left w:val="nil"/>
              <w:bottom w:val="nil"/>
              <w:right w:val="nil"/>
            </w:tcBorders>
            <w:shd w:val="clear" w:color="auto" w:fill="auto"/>
            <w:vAlign w:val="center"/>
          </w:tcPr>
          <w:p w14:paraId="399F2A4A" w14:textId="77777777" w:rsidR="008E0A19" w:rsidRPr="003239AE" w:rsidRDefault="008E0A19" w:rsidP="008E0A19">
            <w:pPr>
              <w:widowControl/>
              <w:spacing w:before="0" w:after="0"/>
              <w:jc w:val="right"/>
              <w:rPr>
                <w:rFonts w:ascii="Calibri" w:hAnsi="Calibri"/>
                <w:color w:val="000000"/>
                <w:kern w:val="0"/>
                <w:sz w:val="18"/>
                <w:szCs w:val="18"/>
              </w:rPr>
            </w:pPr>
          </w:p>
        </w:tc>
      </w:tr>
      <w:tr w:rsidR="001D0D95" w:rsidRPr="007179CD" w14:paraId="2220C464" w14:textId="77777777" w:rsidTr="00D63E44">
        <w:trPr>
          <w:trHeight w:val="300"/>
        </w:trPr>
        <w:tc>
          <w:tcPr>
            <w:tcW w:w="4678" w:type="dxa"/>
            <w:tcBorders>
              <w:top w:val="nil"/>
              <w:left w:val="nil"/>
              <w:bottom w:val="nil"/>
              <w:right w:val="nil"/>
            </w:tcBorders>
            <w:shd w:val="clear" w:color="auto" w:fill="auto"/>
            <w:noWrap/>
            <w:vAlign w:val="center"/>
          </w:tcPr>
          <w:p w14:paraId="166EF524" w14:textId="77777777" w:rsidR="001D0D95" w:rsidRPr="003239AE" w:rsidRDefault="001D0D95" w:rsidP="009E46DF">
            <w:pPr>
              <w:widowControl/>
              <w:spacing w:before="0" w:after="0"/>
              <w:jc w:val="left"/>
              <w:rPr>
                <w:rFonts w:ascii="Calibri" w:hAnsi="Calibri"/>
                <w:color w:val="000000"/>
                <w:kern w:val="0"/>
                <w:sz w:val="18"/>
                <w:szCs w:val="18"/>
              </w:rPr>
            </w:pPr>
          </w:p>
        </w:tc>
        <w:tc>
          <w:tcPr>
            <w:tcW w:w="960" w:type="dxa"/>
            <w:tcBorders>
              <w:top w:val="nil"/>
              <w:left w:val="nil"/>
              <w:bottom w:val="nil"/>
              <w:right w:val="nil"/>
            </w:tcBorders>
            <w:shd w:val="clear" w:color="auto" w:fill="auto"/>
            <w:vAlign w:val="center"/>
          </w:tcPr>
          <w:p w14:paraId="39BF2159"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746F20CE"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664A77FE"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51EA4089"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22BAABE0" w14:textId="77777777" w:rsidR="001D0D95" w:rsidRPr="00737882" w:rsidRDefault="001D0D95" w:rsidP="009E46DF">
            <w:pPr>
              <w:widowControl/>
              <w:spacing w:before="0" w:after="0"/>
              <w:jc w:val="right"/>
              <w:rPr>
                <w:rFonts w:ascii="Calibri" w:hAnsi="Calibri"/>
                <w:b/>
                <w:bCs/>
                <w:color w:val="000000"/>
                <w:kern w:val="0"/>
                <w:sz w:val="18"/>
                <w:szCs w:val="18"/>
              </w:rPr>
            </w:pPr>
          </w:p>
        </w:tc>
        <w:tc>
          <w:tcPr>
            <w:tcW w:w="236" w:type="dxa"/>
            <w:tcBorders>
              <w:left w:val="nil"/>
              <w:bottom w:val="nil"/>
              <w:right w:val="nil"/>
            </w:tcBorders>
            <w:shd w:val="clear" w:color="auto" w:fill="auto"/>
            <w:vAlign w:val="center"/>
          </w:tcPr>
          <w:p w14:paraId="6E607DA0" w14:textId="77777777" w:rsidR="001D0D95" w:rsidRPr="003239AE" w:rsidRDefault="001D0D95" w:rsidP="009E46DF">
            <w:pPr>
              <w:widowControl/>
              <w:spacing w:before="0" w:after="0"/>
              <w:jc w:val="right"/>
              <w:rPr>
                <w:rFonts w:ascii="Calibri" w:hAnsi="Calibri"/>
                <w:color w:val="000000"/>
                <w:kern w:val="0"/>
                <w:sz w:val="18"/>
                <w:szCs w:val="18"/>
              </w:rPr>
            </w:pPr>
          </w:p>
        </w:tc>
        <w:tc>
          <w:tcPr>
            <w:tcW w:w="1115" w:type="dxa"/>
            <w:tcBorders>
              <w:top w:val="double" w:sz="4" w:space="0" w:color="auto"/>
              <w:left w:val="nil"/>
              <w:right w:val="nil"/>
            </w:tcBorders>
            <w:vAlign w:val="center"/>
          </w:tcPr>
          <w:p w14:paraId="06C04762" w14:textId="77777777" w:rsidR="001D0D95" w:rsidRDefault="001D0D95" w:rsidP="009E46DF">
            <w:pPr>
              <w:widowControl/>
              <w:spacing w:before="0" w:after="0"/>
              <w:jc w:val="right"/>
              <w:rPr>
                <w:rFonts w:ascii="Calibri" w:hAnsi="Calibri"/>
                <w:color w:val="000000"/>
                <w:kern w:val="0"/>
                <w:sz w:val="18"/>
                <w:szCs w:val="18"/>
              </w:rPr>
            </w:pPr>
          </w:p>
        </w:tc>
        <w:tc>
          <w:tcPr>
            <w:tcW w:w="1147" w:type="dxa"/>
            <w:tcBorders>
              <w:top w:val="double" w:sz="4" w:space="0" w:color="auto"/>
              <w:left w:val="nil"/>
              <w:right w:val="nil"/>
            </w:tcBorders>
            <w:shd w:val="clear" w:color="auto" w:fill="auto"/>
            <w:vAlign w:val="center"/>
          </w:tcPr>
          <w:p w14:paraId="197F2F94" w14:textId="77777777" w:rsidR="001D0D95" w:rsidRDefault="001D0D95" w:rsidP="009E46DF">
            <w:pPr>
              <w:widowControl/>
              <w:spacing w:before="0" w:after="0"/>
              <w:jc w:val="right"/>
              <w:rPr>
                <w:rFonts w:ascii="Calibri" w:hAnsi="Calibri"/>
                <w:color w:val="000000"/>
                <w:kern w:val="0"/>
                <w:sz w:val="18"/>
                <w:szCs w:val="18"/>
              </w:rPr>
            </w:pPr>
          </w:p>
        </w:tc>
        <w:tc>
          <w:tcPr>
            <w:tcW w:w="320" w:type="dxa"/>
            <w:tcBorders>
              <w:left w:val="nil"/>
              <w:bottom w:val="nil"/>
              <w:right w:val="nil"/>
            </w:tcBorders>
            <w:shd w:val="clear" w:color="auto" w:fill="auto"/>
            <w:vAlign w:val="center"/>
          </w:tcPr>
          <w:p w14:paraId="3F51045A" w14:textId="77777777" w:rsidR="001D0D95" w:rsidRPr="003239AE" w:rsidRDefault="001D0D95" w:rsidP="009E46DF">
            <w:pPr>
              <w:widowControl/>
              <w:spacing w:before="0" w:after="0"/>
              <w:jc w:val="right"/>
              <w:rPr>
                <w:rFonts w:ascii="Calibri" w:hAnsi="Calibri"/>
                <w:color w:val="000000"/>
                <w:kern w:val="0"/>
                <w:sz w:val="18"/>
                <w:szCs w:val="18"/>
              </w:rPr>
            </w:pPr>
          </w:p>
        </w:tc>
      </w:tr>
    </w:tbl>
    <w:p w14:paraId="4DC3CC68" w14:textId="77777777" w:rsidR="003C6CFC" w:rsidRDefault="003C6CFC" w:rsidP="003C6CFC">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 xml:space="preserve">STATEMENT OF </w:t>
      </w:r>
      <w:r>
        <w:rPr>
          <w:rFonts w:asciiTheme="minorHAnsi" w:eastAsia="SimSun" w:hAnsiTheme="minorHAnsi" w:cstheme="minorHAnsi"/>
          <w:b/>
          <w:bCs/>
          <w:color w:val="auto"/>
          <w:kern w:val="2"/>
          <w:lang w:val="en-GB" w:eastAsia="zh-CN"/>
        </w:rPr>
        <w:t xml:space="preserve">FINANCIAL POSITION </w:t>
      </w:r>
    </w:p>
    <w:p w14:paraId="6B8587A6" w14:textId="77777777" w:rsidR="003C6CFC" w:rsidRPr="009E46DF" w:rsidRDefault="003C6CFC" w:rsidP="003C6CFC">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as at 31 January 202</w:t>
      </w:r>
      <w:r w:rsidR="0021069D">
        <w:rPr>
          <w:rFonts w:asciiTheme="minorHAnsi" w:eastAsia="SimSun" w:hAnsiTheme="minorHAnsi" w:cstheme="minorHAnsi"/>
          <w:b/>
          <w:bCs/>
          <w:color w:val="auto"/>
          <w:kern w:val="2"/>
          <w:lang w:val="en-GB" w:eastAsia="zh-CN"/>
        </w:rPr>
        <w:t>3</w:t>
      </w:r>
    </w:p>
    <w:p w14:paraId="7CB1CB49" w14:textId="77777777" w:rsidR="00814AB0" w:rsidRDefault="00814AB0"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4BD0A395" w14:textId="77777777" w:rsidR="00814AB0" w:rsidRDefault="00814AB0"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388AA046" w14:textId="77777777" w:rsidR="00EE24A0" w:rsidRPr="009E46DF" w:rsidRDefault="00EE24A0"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1E2072E8" w14:textId="77777777" w:rsidR="00F24BF9" w:rsidRPr="00720743" w:rsidRDefault="00F24BF9" w:rsidP="00F24BF9">
      <w:pPr>
        <w:spacing w:after="0"/>
        <w:rPr>
          <w:rFonts w:cstheme="minorHAnsi"/>
          <w:sz w:val="18"/>
          <w:szCs w:val="18"/>
        </w:rPr>
      </w:pPr>
      <w:r w:rsidRPr="00720743">
        <w:rPr>
          <w:rFonts w:cstheme="minorHAnsi"/>
          <w:sz w:val="18"/>
          <w:szCs w:val="18"/>
        </w:rPr>
        <w:t xml:space="preserve">The notes </w:t>
      </w:r>
      <w:r w:rsidRPr="00720743">
        <w:rPr>
          <w:rFonts w:eastAsia="MS Mincho" w:cstheme="minorHAnsi"/>
          <w:bCs/>
          <w:color w:val="000000" w:themeColor="text1"/>
          <w:sz w:val="18"/>
          <w:szCs w:val="18"/>
          <w:lang w:val="en-US" w:eastAsia="zh-TW"/>
        </w:rPr>
        <w:t>to the financial statements form an integral part of these financial statements.</w:t>
      </w:r>
    </w:p>
    <w:p w14:paraId="798B3A28" w14:textId="162E540B" w:rsidR="00F24BF9" w:rsidRPr="00790A0B" w:rsidRDefault="00790A0B" w:rsidP="00F24BF9">
      <w:pPr>
        <w:spacing w:after="0"/>
        <w:rPr>
          <w:rFonts w:eastAsia="MS Mincho" w:cstheme="minorHAnsi"/>
          <w:bCs/>
          <w:color w:val="000000" w:themeColor="text1"/>
          <w:sz w:val="18"/>
          <w:szCs w:val="18"/>
          <w:lang w:val="en-US" w:eastAsia="zh-TW"/>
        </w:rPr>
      </w:pPr>
      <w:r w:rsidRPr="00790A0B">
        <w:rPr>
          <w:rFonts w:eastAsia="MS Mincho" w:cstheme="minorHAnsi"/>
          <w:bCs/>
          <w:color w:val="000000" w:themeColor="text1"/>
          <w:sz w:val="18"/>
          <w:szCs w:val="18"/>
          <w:lang w:val="en-US" w:eastAsia="zh-TW"/>
        </w:rPr>
        <w:t>The financial statements of M</w:t>
      </w:r>
      <w:r w:rsidR="000C11F5">
        <w:rPr>
          <w:rFonts w:eastAsia="MS Mincho" w:cstheme="minorHAnsi"/>
          <w:bCs/>
          <w:color w:val="000000" w:themeColor="text1"/>
          <w:sz w:val="18"/>
          <w:szCs w:val="18"/>
          <w:lang w:val="en-US" w:eastAsia="zh-TW"/>
        </w:rPr>
        <w:t xml:space="preserve">ining, </w:t>
      </w:r>
      <w:r w:rsidRPr="00790A0B">
        <w:rPr>
          <w:rFonts w:eastAsia="MS Mincho" w:cstheme="minorHAnsi"/>
          <w:bCs/>
          <w:color w:val="000000" w:themeColor="text1"/>
          <w:sz w:val="18"/>
          <w:szCs w:val="18"/>
          <w:lang w:val="en-US" w:eastAsia="zh-TW"/>
        </w:rPr>
        <w:t>M</w:t>
      </w:r>
      <w:r w:rsidR="000C11F5">
        <w:rPr>
          <w:rFonts w:eastAsia="MS Mincho" w:cstheme="minorHAnsi"/>
          <w:bCs/>
          <w:color w:val="000000" w:themeColor="text1"/>
          <w:sz w:val="18"/>
          <w:szCs w:val="18"/>
          <w:lang w:val="en-US" w:eastAsia="zh-TW"/>
        </w:rPr>
        <w:t xml:space="preserve">inerals &amp; </w:t>
      </w:r>
      <w:r w:rsidRPr="00790A0B">
        <w:rPr>
          <w:rFonts w:eastAsia="MS Mincho" w:cstheme="minorHAnsi"/>
          <w:bCs/>
          <w:color w:val="000000" w:themeColor="text1"/>
          <w:sz w:val="18"/>
          <w:szCs w:val="18"/>
          <w:lang w:val="en-US" w:eastAsia="zh-TW"/>
        </w:rPr>
        <w:t>M</w:t>
      </w:r>
      <w:r w:rsidR="000C11F5">
        <w:rPr>
          <w:rFonts w:eastAsia="MS Mincho" w:cstheme="minorHAnsi"/>
          <w:bCs/>
          <w:color w:val="000000" w:themeColor="text1"/>
          <w:sz w:val="18"/>
          <w:szCs w:val="18"/>
          <w:lang w:val="en-US" w:eastAsia="zh-TW"/>
        </w:rPr>
        <w:t>etals</w:t>
      </w:r>
      <w:r w:rsidRPr="00790A0B">
        <w:rPr>
          <w:rFonts w:eastAsia="MS Mincho" w:cstheme="minorHAnsi"/>
          <w:bCs/>
          <w:color w:val="000000" w:themeColor="text1"/>
          <w:sz w:val="18"/>
          <w:szCs w:val="18"/>
          <w:lang w:val="en-US" w:eastAsia="zh-TW"/>
        </w:rPr>
        <w:t xml:space="preserve"> </w:t>
      </w:r>
      <w:r w:rsidR="000C11F5">
        <w:rPr>
          <w:rFonts w:eastAsia="MS Mincho" w:cstheme="minorHAnsi"/>
          <w:bCs/>
          <w:color w:val="000000" w:themeColor="text1"/>
          <w:sz w:val="18"/>
          <w:szCs w:val="18"/>
          <w:lang w:val="en-US" w:eastAsia="zh-TW"/>
        </w:rPr>
        <w:t>p</w:t>
      </w:r>
      <w:r w:rsidRPr="00790A0B">
        <w:rPr>
          <w:rFonts w:eastAsia="MS Mincho" w:cstheme="minorHAnsi"/>
          <w:bCs/>
          <w:color w:val="000000" w:themeColor="text1"/>
          <w:sz w:val="18"/>
          <w:szCs w:val="18"/>
          <w:lang w:val="en-US" w:eastAsia="zh-TW"/>
        </w:rPr>
        <w:t xml:space="preserve">lc (registered number 08377465) were approved by the Board of Directors and authorised for issue </w:t>
      </w:r>
      <w:r w:rsidRPr="000F7A6C">
        <w:rPr>
          <w:rFonts w:eastAsia="MS Mincho" w:cstheme="minorHAnsi"/>
          <w:bCs/>
          <w:color w:val="000000" w:themeColor="text1"/>
          <w:sz w:val="18"/>
          <w:szCs w:val="18"/>
          <w:lang w:val="en-US" w:eastAsia="zh-TW"/>
        </w:rPr>
        <w:t xml:space="preserve">on </w:t>
      </w:r>
      <w:r w:rsidR="003A763C" w:rsidRPr="000F7A6C">
        <w:rPr>
          <w:rFonts w:eastAsia="MS Mincho" w:cstheme="minorHAnsi"/>
          <w:bCs/>
          <w:color w:val="000000" w:themeColor="text1"/>
          <w:sz w:val="18"/>
          <w:szCs w:val="18"/>
          <w:lang w:val="en-US" w:eastAsia="zh-TW"/>
        </w:rPr>
        <w:t>26</w:t>
      </w:r>
      <w:r w:rsidR="00647FF5" w:rsidRPr="000F7A6C">
        <w:rPr>
          <w:rFonts w:eastAsia="MS Mincho" w:cstheme="minorHAnsi"/>
          <w:bCs/>
          <w:color w:val="000000" w:themeColor="text1"/>
          <w:sz w:val="18"/>
          <w:szCs w:val="18"/>
          <w:lang w:val="en-US" w:eastAsia="zh-TW"/>
        </w:rPr>
        <w:t xml:space="preserve"> May</w:t>
      </w:r>
      <w:r w:rsidR="00814AB0" w:rsidRPr="00872E37">
        <w:rPr>
          <w:rFonts w:eastAsia="MS Mincho" w:cstheme="minorHAnsi"/>
          <w:bCs/>
          <w:color w:val="000000" w:themeColor="text1"/>
          <w:sz w:val="18"/>
          <w:szCs w:val="18"/>
          <w:lang w:val="en-US" w:eastAsia="zh-TW"/>
        </w:rPr>
        <w:t xml:space="preserve"> 202</w:t>
      </w:r>
      <w:r w:rsidR="00872E37">
        <w:rPr>
          <w:rFonts w:eastAsia="MS Mincho" w:cstheme="minorHAnsi"/>
          <w:bCs/>
          <w:color w:val="000000" w:themeColor="text1"/>
          <w:sz w:val="18"/>
          <w:szCs w:val="18"/>
          <w:lang w:val="en-US" w:eastAsia="zh-TW"/>
        </w:rPr>
        <w:t>3</w:t>
      </w:r>
      <w:r w:rsidR="00814AB0" w:rsidRPr="00872E37">
        <w:rPr>
          <w:rFonts w:eastAsia="MS Mincho" w:cstheme="minorHAnsi"/>
          <w:bCs/>
          <w:color w:val="000000" w:themeColor="text1"/>
          <w:sz w:val="18"/>
          <w:szCs w:val="18"/>
          <w:lang w:val="en-US" w:eastAsia="zh-TW"/>
        </w:rPr>
        <w:t>.</w:t>
      </w:r>
      <w:r w:rsidR="00814AB0">
        <w:rPr>
          <w:rFonts w:eastAsia="MS Mincho" w:cstheme="minorHAnsi"/>
          <w:bCs/>
          <w:color w:val="000000" w:themeColor="text1"/>
          <w:sz w:val="18"/>
          <w:szCs w:val="18"/>
          <w:lang w:val="en-US" w:eastAsia="zh-TW"/>
        </w:rPr>
        <w:t xml:space="preserve"> </w:t>
      </w:r>
    </w:p>
    <w:p w14:paraId="6D42FFCC" w14:textId="77777777" w:rsidR="00F24BF9" w:rsidRPr="00790A0B" w:rsidRDefault="00790A0B" w:rsidP="00F24BF9">
      <w:pPr>
        <w:spacing w:after="0"/>
        <w:rPr>
          <w:rFonts w:eastAsia="MS Mincho" w:cstheme="minorHAnsi"/>
          <w:bCs/>
          <w:color w:val="000000" w:themeColor="text1"/>
          <w:sz w:val="18"/>
          <w:szCs w:val="18"/>
          <w:lang w:val="en-US" w:eastAsia="zh-TW"/>
        </w:rPr>
      </w:pPr>
      <w:r w:rsidRPr="00790A0B">
        <w:rPr>
          <w:rFonts w:eastAsia="MS Mincho" w:cstheme="minorHAnsi"/>
          <w:bCs/>
          <w:color w:val="000000" w:themeColor="text1"/>
          <w:sz w:val="18"/>
          <w:szCs w:val="18"/>
          <w:lang w:val="en-US" w:eastAsia="zh-TW"/>
        </w:rPr>
        <w:t>They were signed on its behalf by:</w:t>
      </w:r>
    </w:p>
    <w:p w14:paraId="70F4E123" w14:textId="77777777" w:rsidR="00F24BF9" w:rsidRDefault="00F24BF9" w:rsidP="009E46DF">
      <w:pPr>
        <w:spacing w:before="0" w:after="0"/>
        <w:rPr>
          <w:rFonts w:cstheme="minorHAnsi"/>
          <w:sz w:val="18"/>
          <w:szCs w:val="18"/>
        </w:rPr>
      </w:pPr>
    </w:p>
    <w:p w14:paraId="7D6DEB34" w14:textId="77777777" w:rsidR="00814AB0" w:rsidRDefault="00814AB0" w:rsidP="009E46DF">
      <w:pPr>
        <w:spacing w:before="0" w:after="0"/>
        <w:rPr>
          <w:rFonts w:cstheme="minorHAnsi"/>
          <w:sz w:val="18"/>
          <w:szCs w:val="18"/>
        </w:rPr>
      </w:pPr>
    </w:p>
    <w:p w14:paraId="7CE534E1" w14:textId="77777777" w:rsidR="00814AB0" w:rsidRPr="00720743" w:rsidRDefault="00814AB0" w:rsidP="009E46DF">
      <w:pPr>
        <w:spacing w:before="0" w:after="0"/>
        <w:rPr>
          <w:rFonts w:cstheme="minorHAnsi"/>
          <w:sz w:val="18"/>
          <w:szCs w:val="18"/>
        </w:rPr>
      </w:pPr>
    </w:p>
    <w:p w14:paraId="002A99D9" w14:textId="77777777" w:rsidR="00BD49E4" w:rsidRPr="00720743" w:rsidRDefault="009E46DF" w:rsidP="009E46DF">
      <w:pPr>
        <w:spacing w:before="0" w:after="0"/>
        <w:rPr>
          <w:rFonts w:cstheme="minorHAnsi"/>
          <w:b/>
          <w:sz w:val="18"/>
          <w:szCs w:val="18"/>
        </w:rPr>
      </w:pPr>
      <w:r w:rsidRPr="00720743">
        <w:rPr>
          <w:rFonts w:cstheme="minorHAnsi"/>
          <w:b/>
          <w:sz w:val="18"/>
          <w:szCs w:val="18"/>
        </w:rPr>
        <w:t>Roy Pitchford</w:t>
      </w:r>
    </w:p>
    <w:p w14:paraId="7D5CC1EA" w14:textId="77777777" w:rsidR="00F24BF9" w:rsidRPr="00720743" w:rsidRDefault="00BD49E4" w:rsidP="009E46DF">
      <w:pPr>
        <w:spacing w:before="0" w:after="0"/>
        <w:rPr>
          <w:rFonts w:cstheme="minorHAnsi"/>
          <w:bCs/>
          <w:i/>
          <w:iCs/>
          <w:sz w:val="18"/>
          <w:szCs w:val="18"/>
        </w:rPr>
      </w:pPr>
      <w:r w:rsidRPr="00720743">
        <w:rPr>
          <w:rFonts w:cstheme="minorHAnsi"/>
          <w:bCs/>
          <w:i/>
          <w:iCs/>
          <w:sz w:val="18"/>
          <w:szCs w:val="18"/>
        </w:rPr>
        <w:t>Director</w:t>
      </w:r>
      <w:r w:rsidR="00F24BF9" w:rsidRPr="00720743">
        <w:rPr>
          <w:rFonts w:cstheme="minorHAnsi"/>
          <w:bCs/>
          <w:i/>
          <w:iCs/>
          <w:sz w:val="18"/>
          <w:szCs w:val="18"/>
        </w:rPr>
        <w:t xml:space="preserve"> </w:t>
      </w:r>
    </w:p>
    <w:p w14:paraId="6A883507" w14:textId="77777777" w:rsidR="00F24BF9" w:rsidRPr="00720743" w:rsidRDefault="00F24BF9" w:rsidP="00F24BF9">
      <w:pPr>
        <w:spacing w:after="0"/>
        <w:rPr>
          <w:rFonts w:cstheme="minorHAnsi"/>
          <w:sz w:val="18"/>
          <w:szCs w:val="18"/>
        </w:rPr>
      </w:pPr>
    </w:p>
    <w:p w14:paraId="066741E9" w14:textId="77777777" w:rsidR="00F24BF9" w:rsidRDefault="00230970" w:rsidP="00230970">
      <w:pPr>
        <w:rPr>
          <w:rFonts w:cs="Arial"/>
          <w:b/>
          <w:sz w:val="18"/>
          <w:szCs w:val="18"/>
          <w:lang w:eastAsia="en-GB"/>
        </w:rPr>
        <w:sectPr w:rsidR="00F24BF9" w:rsidSect="009E46DF">
          <w:headerReference w:type="first" r:id="rId25"/>
          <w:endnotePr>
            <w:numFmt w:val="decimal"/>
          </w:endnotePr>
          <w:pgSz w:w="11909" w:h="16834"/>
          <w:pgMar w:top="1506" w:right="1009" w:bottom="1701" w:left="1440" w:header="720" w:footer="1140" w:gutter="0"/>
          <w:paperSrc w:first="7" w:other="7"/>
          <w:cols w:space="720"/>
          <w:titlePg/>
          <w:docGrid w:linePitch="286"/>
        </w:sectPr>
      </w:pPr>
      <w:r>
        <w:rPr>
          <w:rFonts w:cs="Arial"/>
          <w:b/>
          <w:sz w:val="18"/>
          <w:szCs w:val="18"/>
          <w:lang w:eastAsia="en-GB"/>
        </w:rPr>
        <w:br w:type="page"/>
      </w:r>
    </w:p>
    <w:p w14:paraId="42583E7E" w14:textId="77777777" w:rsidR="00230970" w:rsidRPr="007D673F" w:rsidRDefault="00230970" w:rsidP="00230970">
      <w:pPr>
        <w:rPr>
          <w:rFonts w:cs="Arial"/>
          <w:b/>
          <w:sz w:val="18"/>
          <w:szCs w:val="18"/>
          <w:lang w:eastAsia="en-GB"/>
        </w:rPr>
      </w:pPr>
    </w:p>
    <w:p w14:paraId="4E62401D" w14:textId="77777777" w:rsid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STATEMENT OF C</w:t>
      </w:r>
      <w:r>
        <w:rPr>
          <w:rFonts w:asciiTheme="minorHAnsi" w:eastAsia="SimSun" w:hAnsiTheme="minorHAnsi" w:cstheme="minorHAnsi"/>
          <w:b/>
          <w:bCs/>
          <w:color w:val="auto"/>
          <w:kern w:val="2"/>
          <w:lang w:val="en-GB" w:eastAsia="zh-CN"/>
        </w:rPr>
        <w:t>HANGES IN EQUITY</w:t>
      </w:r>
    </w:p>
    <w:p w14:paraId="2A42784C" w14:textId="77777777" w:rsidR="009E46DF" w:rsidRP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21069D">
        <w:rPr>
          <w:rFonts w:asciiTheme="minorHAnsi" w:eastAsia="SimSun" w:hAnsiTheme="minorHAnsi" w:cstheme="minorHAnsi"/>
          <w:b/>
          <w:bCs/>
          <w:color w:val="auto"/>
          <w:kern w:val="2"/>
          <w:lang w:val="en-GB" w:eastAsia="zh-CN"/>
        </w:rPr>
        <w:t>3</w:t>
      </w:r>
    </w:p>
    <w:p w14:paraId="530DB454" w14:textId="77777777" w:rsidR="009E46DF" w:rsidRDefault="009E46DF" w:rsidP="00230970">
      <w:pPr>
        <w:tabs>
          <w:tab w:val="left" w:pos="550"/>
        </w:tabs>
        <w:autoSpaceDE w:val="0"/>
        <w:autoSpaceDN w:val="0"/>
        <w:adjustRightInd w:val="0"/>
        <w:rPr>
          <w:rFonts w:cs="Arial"/>
          <w:sz w:val="18"/>
          <w:szCs w:val="18"/>
          <w:lang w:eastAsia="en-GB"/>
        </w:rPr>
      </w:pPr>
    </w:p>
    <w:p w14:paraId="4FCBE79C" w14:textId="77777777" w:rsidR="009E46DF" w:rsidRPr="003239AE" w:rsidRDefault="009E46DF" w:rsidP="00230970">
      <w:pPr>
        <w:tabs>
          <w:tab w:val="left" w:pos="550"/>
        </w:tabs>
        <w:autoSpaceDE w:val="0"/>
        <w:autoSpaceDN w:val="0"/>
        <w:adjustRightInd w:val="0"/>
        <w:rPr>
          <w:rFonts w:cs="Arial"/>
          <w:sz w:val="18"/>
          <w:szCs w:val="18"/>
          <w:lang w:eastAsia="en-GB"/>
        </w:rPr>
      </w:pP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1317"/>
        <w:gridCol w:w="1512"/>
        <w:gridCol w:w="1606"/>
        <w:gridCol w:w="1190"/>
      </w:tblGrid>
      <w:tr w:rsidR="00230970" w:rsidRPr="003239AE" w14:paraId="7A609CD3" w14:textId="77777777" w:rsidTr="00F24BF9">
        <w:tc>
          <w:tcPr>
            <w:tcW w:w="3503" w:type="dxa"/>
          </w:tcPr>
          <w:p w14:paraId="5C81377E" w14:textId="77777777" w:rsidR="00230970" w:rsidRPr="003239AE" w:rsidRDefault="00230970" w:rsidP="00890FE3">
            <w:pPr>
              <w:tabs>
                <w:tab w:val="left" w:pos="550"/>
              </w:tabs>
              <w:autoSpaceDE w:val="0"/>
              <w:autoSpaceDN w:val="0"/>
              <w:adjustRightInd w:val="0"/>
              <w:spacing w:before="0" w:after="0"/>
              <w:rPr>
                <w:rFonts w:cs="Arial"/>
                <w:sz w:val="18"/>
                <w:szCs w:val="18"/>
                <w:lang w:eastAsia="en-GB"/>
              </w:rPr>
            </w:pPr>
          </w:p>
        </w:tc>
        <w:tc>
          <w:tcPr>
            <w:tcW w:w="1317" w:type="dxa"/>
          </w:tcPr>
          <w:p w14:paraId="643AC539"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 xml:space="preserve">Share </w:t>
            </w:r>
            <w:r w:rsidR="000C11F5">
              <w:rPr>
                <w:rFonts w:cs="Arial"/>
                <w:b/>
                <w:sz w:val="18"/>
                <w:szCs w:val="18"/>
                <w:lang w:eastAsia="en-GB"/>
              </w:rPr>
              <w:t>c</w:t>
            </w:r>
            <w:r w:rsidRPr="003239AE">
              <w:rPr>
                <w:rFonts w:cs="Arial"/>
                <w:b/>
                <w:sz w:val="18"/>
                <w:szCs w:val="18"/>
                <w:lang w:eastAsia="en-GB"/>
              </w:rPr>
              <w:t>apital</w:t>
            </w:r>
          </w:p>
        </w:tc>
        <w:tc>
          <w:tcPr>
            <w:tcW w:w="1512" w:type="dxa"/>
          </w:tcPr>
          <w:p w14:paraId="3DACFD7D"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Share premium</w:t>
            </w:r>
          </w:p>
        </w:tc>
        <w:tc>
          <w:tcPr>
            <w:tcW w:w="1606" w:type="dxa"/>
          </w:tcPr>
          <w:p w14:paraId="30857FD3"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Retained earnings</w:t>
            </w:r>
          </w:p>
        </w:tc>
        <w:tc>
          <w:tcPr>
            <w:tcW w:w="1190" w:type="dxa"/>
          </w:tcPr>
          <w:p w14:paraId="0C858C36"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Total equity</w:t>
            </w:r>
          </w:p>
        </w:tc>
      </w:tr>
      <w:tr w:rsidR="00230970" w:rsidRPr="003239AE" w14:paraId="3F04DBF3" w14:textId="77777777" w:rsidTr="00F2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3503" w:type="dxa"/>
            <w:tcBorders>
              <w:top w:val="nil"/>
              <w:left w:val="nil"/>
              <w:bottom w:val="nil"/>
              <w:right w:val="nil"/>
            </w:tcBorders>
          </w:tcPr>
          <w:p w14:paraId="676D471B" w14:textId="77777777" w:rsidR="00230970" w:rsidRPr="003239AE" w:rsidRDefault="00230970" w:rsidP="00890FE3">
            <w:pPr>
              <w:tabs>
                <w:tab w:val="left" w:pos="550"/>
              </w:tabs>
              <w:autoSpaceDE w:val="0"/>
              <w:autoSpaceDN w:val="0"/>
              <w:adjustRightInd w:val="0"/>
              <w:spacing w:before="0" w:after="0"/>
              <w:rPr>
                <w:rFonts w:cs="Arial"/>
                <w:sz w:val="18"/>
                <w:szCs w:val="18"/>
                <w:lang w:eastAsia="en-GB"/>
              </w:rPr>
            </w:pPr>
          </w:p>
        </w:tc>
        <w:tc>
          <w:tcPr>
            <w:tcW w:w="1317" w:type="dxa"/>
            <w:tcBorders>
              <w:top w:val="nil"/>
              <w:left w:val="nil"/>
              <w:bottom w:val="nil"/>
              <w:right w:val="nil"/>
            </w:tcBorders>
          </w:tcPr>
          <w:p w14:paraId="664DCBC5"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w:t>
            </w:r>
          </w:p>
        </w:tc>
        <w:tc>
          <w:tcPr>
            <w:tcW w:w="1512" w:type="dxa"/>
            <w:tcBorders>
              <w:top w:val="nil"/>
              <w:left w:val="nil"/>
              <w:bottom w:val="nil"/>
              <w:right w:val="nil"/>
            </w:tcBorders>
          </w:tcPr>
          <w:p w14:paraId="518F3329"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w:t>
            </w:r>
          </w:p>
        </w:tc>
        <w:tc>
          <w:tcPr>
            <w:tcW w:w="1606" w:type="dxa"/>
            <w:tcBorders>
              <w:top w:val="nil"/>
              <w:left w:val="nil"/>
              <w:bottom w:val="nil"/>
              <w:right w:val="nil"/>
            </w:tcBorders>
          </w:tcPr>
          <w:p w14:paraId="7DAA89A0"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w:t>
            </w:r>
          </w:p>
        </w:tc>
        <w:tc>
          <w:tcPr>
            <w:tcW w:w="1190" w:type="dxa"/>
            <w:tcBorders>
              <w:top w:val="nil"/>
              <w:left w:val="nil"/>
              <w:bottom w:val="nil"/>
              <w:right w:val="nil"/>
            </w:tcBorders>
          </w:tcPr>
          <w:p w14:paraId="126EC83F" w14:textId="77777777" w:rsidR="00230970" w:rsidRPr="003239AE" w:rsidRDefault="00230970" w:rsidP="004856E9">
            <w:pPr>
              <w:tabs>
                <w:tab w:val="left" w:pos="550"/>
              </w:tabs>
              <w:autoSpaceDE w:val="0"/>
              <w:autoSpaceDN w:val="0"/>
              <w:adjustRightInd w:val="0"/>
              <w:spacing w:before="0" w:after="0"/>
              <w:jc w:val="center"/>
              <w:rPr>
                <w:rFonts w:cs="Arial"/>
                <w:b/>
                <w:sz w:val="18"/>
                <w:szCs w:val="18"/>
                <w:lang w:eastAsia="en-GB"/>
              </w:rPr>
            </w:pPr>
            <w:r w:rsidRPr="003239AE">
              <w:rPr>
                <w:rFonts w:cs="Arial"/>
                <w:b/>
                <w:sz w:val="18"/>
                <w:szCs w:val="18"/>
                <w:lang w:eastAsia="en-GB"/>
              </w:rPr>
              <w:t>£</w:t>
            </w:r>
          </w:p>
        </w:tc>
      </w:tr>
    </w:tbl>
    <w:p w14:paraId="3876C28F" w14:textId="77777777" w:rsidR="00230970" w:rsidRPr="003239AE" w:rsidRDefault="00230970" w:rsidP="00230970">
      <w:pPr>
        <w:tabs>
          <w:tab w:val="left" w:pos="550"/>
        </w:tabs>
        <w:autoSpaceDE w:val="0"/>
        <w:autoSpaceDN w:val="0"/>
        <w:adjustRightInd w:val="0"/>
        <w:spacing w:before="0" w:after="0"/>
        <w:rPr>
          <w:rFonts w:cs="Arial"/>
          <w:sz w:val="18"/>
          <w:szCs w:val="18"/>
          <w:lang w:eastAsia="en-GB"/>
        </w:rPr>
      </w:pPr>
    </w:p>
    <w:tbl>
      <w:tblPr>
        <w:tblStyle w:val="TableGrid"/>
        <w:tblW w:w="9158" w:type="dxa"/>
        <w:tblInd w:w="5" w:type="dxa"/>
        <w:tblLook w:val="04A0" w:firstRow="1" w:lastRow="0" w:firstColumn="1" w:lastColumn="0" w:noHBand="0" w:noVBand="1"/>
      </w:tblPr>
      <w:tblGrid>
        <w:gridCol w:w="3002"/>
        <w:gridCol w:w="1404"/>
        <w:gridCol w:w="1500"/>
        <w:gridCol w:w="1628"/>
        <w:gridCol w:w="1624"/>
      </w:tblGrid>
      <w:tr w:rsidR="003F10B3" w:rsidRPr="003239AE" w14:paraId="10A2240B" w14:textId="77777777" w:rsidTr="004856E9">
        <w:trPr>
          <w:trHeight w:val="282"/>
        </w:trPr>
        <w:tc>
          <w:tcPr>
            <w:tcW w:w="3002" w:type="dxa"/>
            <w:tcBorders>
              <w:top w:val="nil"/>
              <w:left w:val="nil"/>
              <w:bottom w:val="nil"/>
              <w:right w:val="nil"/>
            </w:tcBorders>
          </w:tcPr>
          <w:p w14:paraId="3F12B427" w14:textId="77777777" w:rsidR="003F10B3" w:rsidRPr="003239AE" w:rsidRDefault="003F10B3" w:rsidP="003F10B3">
            <w:pPr>
              <w:tabs>
                <w:tab w:val="left" w:pos="550"/>
              </w:tabs>
              <w:autoSpaceDE w:val="0"/>
              <w:autoSpaceDN w:val="0"/>
              <w:adjustRightInd w:val="0"/>
              <w:spacing w:before="0" w:after="0"/>
              <w:rPr>
                <w:rFonts w:cs="Arial"/>
                <w:b/>
                <w:sz w:val="18"/>
                <w:szCs w:val="18"/>
                <w:lang w:eastAsia="en-GB"/>
              </w:rPr>
            </w:pPr>
            <w:r w:rsidRPr="003239AE">
              <w:rPr>
                <w:rFonts w:cs="Arial"/>
                <w:b/>
                <w:sz w:val="18"/>
                <w:szCs w:val="18"/>
                <w:lang w:eastAsia="en-GB"/>
              </w:rPr>
              <w:t>Balance at 31 January 20</w:t>
            </w:r>
            <w:r>
              <w:rPr>
                <w:rFonts w:cs="Arial"/>
                <w:b/>
                <w:sz w:val="18"/>
                <w:szCs w:val="18"/>
                <w:lang w:eastAsia="en-GB"/>
              </w:rPr>
              <w:t>21</w:t>
            </w:r>
          </w:p>
        </w:tc>
        <w:tc>
          <w:tcPr>
            <w:tcW w:w="1404" w:type="dxa"/>
            <w:tcBorders>
              <w:top w:val="single" w:sz="4" w:space="0" w:color="auto"/>
              <w:left w:val="nil"/>
              <w:bottom w:val="nil"/>
              <w:right w:val="nil"/>
            </w:tcBorders>
          </w:tcPr>
          <w:p w14:paraId="4B960B97" w14:textId="77777777" w:rsidR="003F10B3" w:rsidRPr="003239AE" w:rsidRDefault="003F10B3" w:rsidP="00B059BA">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320,500</w:t>
            </w:r>
          </w:p>
        </w:tc>
        <w:tc>
          <w:tcPr>
            <w:tcW w:w="1500" w:type="dxa"/>
            <w:tcBorders>
              <w:top w:val="single" w:sz="4" w:space="0" w:color="auto"/>
              <w:left w:val="nil"/>
              <w:bottom w:val="nil"/>
              <w:right w:val="nil"/>
            </w:tcBorders>
          </w:tcPr>
          <w:p w14:paraId="56478E60" w14:textId="77777777" w:rsidR="003F10B3" w:rsidRPr="003239AE" w:rsidRDefault="003F10B3" w:rsidP="00B059BA">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406,167</w:t>
            </w:r>
          </w:p>
        </w:tc>
        <w:tc>
          <w:tcPr>
            <w:tcW w:w="1628" w:type="dxa"/>
            <w:tcBorders>
              <w:top w:val="single" w:sz="4" w:space="0" w:color="auto"/>
              <w:left w:val="nil"/>
              <w:bottom w:val="nil"/>
              <w:right w:val="nil"/>
            </w:tcBorders>
          </w:tcPr>
          <w:p w14:paraId="122DCFA5" w14:textId="77777777" w:rsidR="003F10B3" w:rsidRPr="003239AE" w:rsidRDefault="003F10B3" w:rsidP="00B059BA">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w:t>
            </w:r>
            <w:r>
              <w:rPr>
                <w:rFonts w:cs="Arial"/>
                <w:b/>
                <w:sz w:val="18"/>
                <w:szCs w:val="18"/>
                <w:lang w:eastAsia="en-GB"/>
              </w:rPr>
              <w:t>383,307</w:t>
            </w:r>
            <w:r w:rsidRPr="003239AE">
              <w:rPr>
                <w:rFonts w:cs="Arial"/>
                <w:b/>
                <w:sz w:val="18"/>
                <w:szCs w:val="18"/>
                <w:lang w:eastAsia="en-GB"/>
              </w:rPr>
              <w:t>)</w:t>
            </w:r>
          </w:p>
        </w:tc>
        <w:tc>
          <w:tcPr>
            <w:tcW w:w="1624" w:type="dxa"/>
            <w:tcBorders>
              <w:top w:val="single" w:sz="4" w:space="0" w:color="auto"/>
              <w:left w:val="nil"/>
              <w:bottom w:val="nil"/>
              <w:right w:val="nil"/>
            </w:tcBorders>
          </w:tcPr>
          <w:p w14:paraId="0283AD75" w14:textId="77777777" w:rsidR="003F10B3" w:rsidRPr="003239AE" w:rsidRDefault="003F10B3" w:rsidP="004856E9">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 xml:space="preserve">          343,360</w:t>
            </w:r>
          </w:p>
        </w:tc>
      </w:tr>
      <w:tr w:rsidR="003F10B3" w:rsidRPr="003239AE" w14:paraId="7D4A09F4" w14:textId="77777777" w:rsidTr="004856E9">
        <w:trPr>
          <w:trHeight w:val="139"/>
        </w:trPr>
        <w:tc>
          <w:tcPr>
            <w:tcW w:w="3002" w:type="dxa"/>
            <w:tcBorders>
              <w:top w:val="nil"/>
              <w:left w:val="nil"/>
              <w:bottom w:val="nil"/>
              <w:right w:val="nil"/>
            </w:tcBorders>
          </w:tcPr>
          <w:p w14:paraId="374D78DD" w14:textId="77777777" w:rsidR="003F10B3" w:rsidRPr="003239AE" w:rsidRDefault="003F10B3" w:rsidP="004856E9">
            <w:pPr>
              <w:tabs>
                <w:tab w:val="left" w:pos="550"/>
                <w:tab w:val="left" w:pos="1176"/>
              </w:tabs>
              <w:autoSpaceDE w:val="0"/>
              <w:autoSpaceDN w:val="0"/>
              <w:adjustRightInd w:val="0"/>
              <w:spacing w:before="0" w:after="0"/>
              <w:jc w:val="right"/>
              <w:rPr>
                <w:rFonts w:cs="Arial"/>
                <w:sz w:val="18"/>
                <w:szCs w:val="18"/>
                <w:lang w:eastAsia="en-GB"/>
              </w:rPr>
            </w:pPr>
            <w:r w:rsidRPr="003239AE">
              <w:rPr>
                <w:rFonts w:cs="Arial"/>
                <w:sz w:val="18"/>
                <w:szCs w:val="18"/>
                <w:lang w:eastAsia="en-GB"/>
              </w:rPr>
              <w:t>Total comprehensive loss for the year</w:t>
            </w:r>
          </w:p>
        </w:tc>
        <w:tc>
          <w:tcPr>
            <w:tcW w:w="1404" w:type="dxa"/>
            <w:tcBorders>
              <w:top w:val="nil"/>
              <w:left w:val="nil"/>
              <w:bottom w:val="single" w:sz="4" w:space="0" w:color="auto"/>
              <w:right w:val="nil"/>
            </w:tcBorders>
          </w:tcPr>
          <w:p w14:paraId="32228FFA" w14:textId="77777777" w:rsidR="003F10B3" w:rsidRPr="003239AE" w:rsidRDefault="003F10B3" w:rsidP="00B059BA">
            <w:pPr>
              <w:tabs>
                <w:tab w:val="left" w:pos="550"/>
              </w:tabs>
              <w:autoSpaceDE w:val="0"/>
              <w:autoSpaceDN w:val="0"/>
              <w:adjustRightInd w:val="0"/>
              <w:spacing w:before="0" w:after="0"/>
              <w:jc w:val="right"/>
              <w:rPr>
                <w:rFonts w:cs="Arial"/>
                <w:sz w:val="18"/>
                <w:szCs w:val="18"/>
                <w:lang w:eastAsia="en-GB"/>
              </w:rPr>
            </w:pPr>
            <w:r w:rsidRPr="003239AE">
              <w:rPr>
                <w:rFonts w:cs="Arial"/>
                <w:sz w:val="18"/>
                <w:szCs w:val="18"/>
                <w:lang w:eastAsia="en-GB"/>
              </w:rPr>
              <w:t>-</w:t>
            </w:r>
          </w:p>
        </w:tc>
        <w:tc>
          <w:tcPr>
            <w:tcW w:w="1500" w:type="dxa"/>
            <w:tcBorders>
              <w:top w:val="nil"/>
              <w:left w:val="nil"/>
              <w:bottom w:val="single" w:sz="4" w:space="0" w:color="auto"/>
              <w:right w:val="nil"/>
            </w:tcBorders>
          </w:tcPr>
          <w:p w14:paraId="72FA2D8D" w14:textId="77777777" w:rsidR="003F10B3" w:rsidRPr="003239AE" w:rsidRDefault="003F10B3" w:rsidP="00B059BA">
            <w:pPr>
              <w:tabs>
                <w:tab w:val="left" w:pos="550"/>
              </w:tabs>
              <w:autoSpaceDE w:val="0"/>
              <w:autoSpaceDN w:val="0"/>
              <w:adjustRightInd w:val="0"/>
              <w:spacing w:before="0" w:after="0"/>
              <w:jc w:val="right"/>
              <w:rPr>
                <w:rFonts w:cs="Arial"/>
                <w:sz w:val="18"/>
                <w:szCs w:val="18"/>
                <w:lang w:eastAsia="en-GB"/>
              </w:rPr>
            </w:pPr>
            <w:r w:rsidRPr="003239AE">
              <w:rPr>
                <w:rFonts w:cs="Arial"/>
                <w:sz w:val="18"/>
                <w:szCs w:val="18"/>
                <w:lang w:eastAsia="en-GB"/>
              </w:rPr>
              <w:t>-</w:t>
            </w:r>
          </w:p>
        </w:tc>
        <w:tc>
          <w:tcPr>
            <w:tcW w:w="1628" w:type="dxa"/>
            <w:tcBorders>
              <w:top w:val="nil"/>
              <w:left w:val="nil"/>
              <w:bottom w:val="single" w:sz="4" w:space="0" w:color="auto"/>
              <w:right w:val="nil"/>
            </w:tcBorders>
          </w:tcPr>
          <w:p w14:paraId="02B28239" w14:textId="77777777" w:rsidR="003F10B3" w:rsidRPr="003239AE" w:rsidRDefault="003F10B3" w:rsidP="00B059BA">
            <w:pPr>
              <w:tabs>
                <w:tab w:val="left" w:pos="550"/>
              </w:tabs>
              <w:autoSpaceDE w:val="0"/>
              <w:autoSpaceDN w:val="0"/>
              <w:adjustRightInd w:val="0"/>
              <w:spacing w:before="0" w:after="0"/>
              <w:jc w:val="right"/>
              <w:rPr>
                <w:rFonts w:cs="Arial"/>
                <w:b/>
                <w:sz w:val="18"/>
                <w:szCs w:val="18"/>
                <w:lang w:eastAsia="en-GB"/>
              </w:rPr>
            </w:pPr>
            <w:r w:rsidRPr="003239AE">
              <w:rPr>
                <w:rFonts w:cs="Arial"/>
                <w:sz w:val="18"/>
                <w:szCs w:val="18"/>
                <w:lang w:eastAsia="en-GB"/>
              </w:rPr>
              <w:t>(</w:t>
            </w:r>
            <w:r>
              <w:rPr>
                <w:rFonts w:cs="Arial"/>
                <w:sz w:val="18"/>
                <w:szCs w:val="18"/>
                <w:lang w:eastAsia="en-GB"/>
              </w:rPr>
              <w:t>172,760</w:t>
            </w:r>
            <w:r w:rsidRPr="003239AE">
              <w:rPr>
                <w:rFonts w:cs="Arial"/>
                <w:sz w:val="18"/>
                <w:szCs w:val="18"/>
                <w:lang w:eastAsia="en-GB"/>
              </w:rPr>
              <w:t>)</w:t>
            </w:r>
          </w:p>
        </w:tc>
        <w:tc>
          <w:tcPr>
            <w:tcW w:w="1624" w:type="dxa"/>
            <w:tcBorders>
              <w:top w:val="nil"/>
              <w:left w:val="nil"/>
              <w:bottom w:val="single" w:sz="4" w:space="0" w:color="auto"/>
              <w:right w:val="nil"/>
            </w:tcBorders>
          </w:tcPr>
          <w:p w14:paraId="153A6BE6" w14:textId="77777777" w:rsidR="003F10B3" w:rsidRPr="003239AE" w:rsidRDefault="003F10B3" w:rsidP="00B059BA">
            <w:pPr>
              <w:tabs>
                <w:tab w:val="left" w:pos="550"/>
              </w:tabs>
              <w:autoSpaceDE w:val="0"/>
              <w:autoSpaceDN w:val="0"/>
              <w:adjustRightInd w:val="0"/>
              <w:spacing w:before="0" w:after="0"/>
              <w:jc w:val="right"/>
              <w:rPr>
                <w:rFonts w:cs="Arial"/>
                <w:b/>
                <w:sz w:val="18"/>
                <w:szCs w:val="18"/>
                <w:lang w:eastAsia="en-GB"/>
              </w:rPr>
            </w:pPr>
            <w:r>
              <w:rPr>
                <w:rFonts w:cs="Arial"/>
                <w:bCs/>
                <w:sz w:val="18"/>
                <w:szCs w:val="18"/>
                <w:lang w:eastAsia="en-GB"/>
              </w:rPr>
              <w:t xml:space="preserve">         </w:t>
            </w:r>
            <w:r w:rsidRPr="00EE785D">
              <w:rPr>
                <w:rFonts w:cs="Arial"/>
                <w:bCs/>
                <w:sz w:val="18"/>
                <w:szCs w:val="18"/>
                <w:lang w:eastAsia="en-GB"/>
              </w:rPr>
              <w:t>(172,760)</w:t>
            </w:r>
          </w:p>
        </w:tc>
      </w:tr>
      <w:tr w:rsidR="003F10B3" w:rsidRPr="003239AE" w14:paraId="7DEA0D88" w14:textId="77777777" w:rsidTr="004856E9">
        <w:trPr>
          <w:trHeight w:val="144"/>
        </w:trPr>
        <w:tc>
          <w:tcPr>
            <w:tcW w:w="3002" w:type="dxa"/>
            <w:tcBorders>
              <w:top w:val="nil"/>
              <w:left w:val="nil"/>
              <w:bottom w:val="nil"/>
              <w:right w:val="nil"/>
            </w:tcBorders>
          </w:tcPr>
          <w:p w14:paraId="1C6CDDB7" w14:textId="77777777" w:rsidR="003F10B3" w:rsidRPr="003239AE" w:rsidRDefault="003F10B3" w:rsidP="003F10B3">
            <w:pPr>
              <w:tabs>
                <w:tab w:val="left" w:pos="550"/>
              </w:tabs>
              <w:autoSpaceDE w:val="0"/>
              <w:autoSpaceDN w:val="0"/>
              <w:adjustRightInd w:val="0"/>
              <w:spacing w:before="0" w:after="0"/>
              <w:rPr>
                <w:rFonts w:cs="Arial"/>
                <w:sz w:val="18"/>
                <w:szCs w:val="18"/>
                <w:lang w:eastAsia="en-GB"/>
              </w:rPr>
            </w:pPr>
            <w:r w:rsidRPr="003239AE">
              <w:rPr>
                <w:rFonts w:cs="Arial"/>
                <w:b/>
                <w:sz w:val="18"/>
                <w:szCs w:val="18"/>
                <w:lang w:eastAsia="en-GB"/>
              </w:rPr>
              <w:t>Balance at 31 January 20</w:t>
            </w:r>
            <w:r>
              <w:rPr>
                <w:rFonts w:cs="Arial"/>
                <w:b/>
                <w:sz w:val="18"/>
                <w:szCs w:val="18"/>
                <w:lang w:eastAsia="en-GB"/>
              </w:rPr>
              <w:t>22</w:t>
            </w:r>
          </w:p>
        </w:tc>
        <w:tc>
          <w:tcPr>
            <w:tcW w:w="1404" w:type="dxa"/>
            <w:tcBorders>
              <w:top w:val="single" w:sz="4" w:space="0" w:color="auto"/>
              <w:left w:val="nil"/>
              <w:bottom w:val="nil"/>
              <w:right w:val="nil"/>
            </w:tcBorders>
          </w:tcPr>
          <w:p w14:paraId="17826390" w14:textId="77777777" w:rsidR="003F10B3" w:rsidRPr="003239AE" w:rsidRDefault="003F10B3" w:rsidP="00B059BA">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320,500</w:t>
            </w:r>
          </w:p>
        </w:tc>
        <w:tc>
          <w:tcPr>
            <w:tcW w:w="1500" w:type="dxa"/>
            <w:tcBorders>
              <w:top w:val="single" w:sz="4" w:space="0" w:color="auto"/>
              <w:left w:val="nil"/>
              <w:bottom w:val="nil"/>
              <w:right w:val="nil"/>
            </w:tcBorders>
          </w:tcPr>
          <w:p w14:paraId="003259FE" w14:textId="77777777" w:rsidR="003F10B3" w:rsidRPr="003239AE" w:rsidRDefault="003F10B3" w:rsidP="00B059BA">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406,167</w:t>
            </w:r>
          </w:p>
        </w:tc>
        <w:tc>
          <w:tcPr>
            <w:tcW w:w="1628" w:type="dxa"/>
            <w:tcBorders>
              <w:top w:val="single" w:sz="4" w:space="0" w:color="auto"/>
              <w:left w:val="nil"/>
              <w:bottom w:val="nil"/>
              <w:right w:val="nil"/>
            </w:tcBorders>
          </w:tcPr>
          <w:p w14:paraId="26B30E1C" w14:textId="77777777" w:rsidR="003F10B3" w:rsidRPr="003239AE" w:rsidRDefault="003F10B3" w:rsidP="00B059BA">
            <w:pPr>
              <w:tabs>
                <w:tab w:val="left" w:pos="550"/>
              </w:tabs>
              <w:autoSpaceDE w:val="0"/>
              <w:autoSpaceDN w:val="0"/>
              <w:adjustRightInd w:val="0"/>
              <w:spacing w:before="0" w:after="0"/>
              <w:jc w:val="right"/>
              <w:rPr>
                <w:rFonts w:cs="Arial"/>
                <w:sz w:val="18"/>
                <w:szCs w:val="18"/>
                <w:lang w:eastAsia="en-GB"/>
              </w:rPr>
            </w:pPr>
            <w:r w:rsidRPr="003239AE">
              <w:rPr>
                <w:rFonts w:cs="Arial"/>
                <w:b/>
                <w:sz w:val="18"/>
                <w:szCs w:val="18"/>
                <w:lang w:eastAsia="en-GB"/>
              </w:rPr>
              <w:t>(</w:t>
            </w:r>
            <w:r>
              <w:rPr>
                <w:rFonts w:cs="Arial"/>
                <w:b/>
                <w:sz w:val="18"/>
                <w:szCs w:val="18"/>
                <w:lang w:eastAsia="en-GB"/>
              </w:rPr>
              <w:t>556,067</w:t>
            </w:r>
            <w:r w:rsidRPr="003239AE">
              <w:rPr>
                <w:rFonts w:cs="Arial"/>
                <w:b/>
                <w:sz w:val="18"/>
                <w:szCs w:val="18"/>
                <w:lang w:eastAsia="en-GB"/>
              </w:rPr>
              <w:t>)</w:t>
            </w:r>
          </w:p>
        </w:tc>
        <w:tc>
          <w:tcPr>
            <w:tcW w:w="1624" w:type="dxa"/>
            <w:tcBorders>
              <w:top w:val="single" w:sz="4" w:space="0" w:color="auto"/>
              <w:left w:val="nil"/>
              <w:bottom w:val="nil"/>
              <w:right w:val="nil"/>
            </w:tcBorders>
          </w:tcPr>
          <w:p w14:paraId="3E3121CA" w14:textId="77777777" w:rsidR="003F10B3" w:rsidRPr="003239AE" w:rsidRDefault="003F10B3" w:rsidP="004856E9">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 xml:space="preserve">           170,600</w:t>
            </w:r>
          </w:p>
        </w:tc>
      </w:tr>
      <w:tr w:rsidR="006669FF" w:rsidRPr="003239AE" w14:paraId="1599AA47" w14:textId="77777777" w:rsidTr="004856E9">
        <w:trPr>
          <w:trHeight w:val="347"/>
        </w:trPr>
        <w:tc>
          <w:tcPr>
            <w:tcW w:w="3002" w:type="dxa"/>
            <w:tcBorders>
              <w:top w:val="nil"/>
              <w:left w:val="nil"/>
              <w:bottom w:val="nil"/>
              <w:right w:val="nil"/>
            </w:tcBorders>
          </w:tcPr>
          <w:p w14:paraId="171621BB" w14:textId="77777777" w:rsidR="006669FF" w:rsidRPr="001D0B36" w:rsidRDefault="006669FF" w:rsidP="006669FF">
            <w:pPr>
              <w:tabs>
                <w:tab w:val="left" w:pos="550"/>
              </w:tabs>
              <w:autoSpaceDE w:val="0"/>
              <w:autoSpaceDN w:val="0"/>
              <w:adjustRightInd w:val="0"/>
              <w:spacing w:before="0" w:after="0"/>
              <w:rPr>
                <w:rFonts w:cs="Arial"/>
                <w:bCs/>
                <w:sz w:val="18"/>
                <w:szCs w:val="18"/>
                <w:lang w:eastAsia="en-GB"/>
              </w:rPr>
            </w:pPr>
            <w:r w:rsidRPr="003239AE">
              <w:rPr>
                <w:rFonts w:cs="Arial"/>
                <w:sz w:val="18"/>
                <w:szCs w:val="18"/>
                <w:lang w:eastAsia="en-GB"/>
              </w:rPr>
              <w:t>Total comprehensive loss for the year</w:t>
            </w:r>
          </w:p>
        </w:tc>
        <w:tc>
          <w:tcPr>
            <w:tcW w:w="1404" w:type="dxa"/>
            <w:tcBorders>
              <w:top w:val="nil"/>
              <w:left w:val="nil"/>
              <w:bottom w:val="nil"/>
              <w:right w:val="nil"/>
            </w:tcBorders>
          </w:tcPr>
          <w:p w14:paraId="4718B835" w14:textId="77777777" w:rsidR="006669FF" w:rsidRPr="00A70100" w:rsidRDefault="006669FF" w:rsidP="00B059BA">
            <w:pPr>
              <w:tabs>
                <w:tab w:val="left" w:pos="550"/>
              </w:tabs>
              <w:autoSpaceDE w:val="0"/>
              <w:autoSpaceDN w:val="0"/>
              <w:adjustRightInd w:val="0"/>
              <w:spacing w:before="0" w:after="0"/>
              <w:jc w:val="right"/>
              <w:rPr>
                <w:rFonts w:cs="Arial"/>
                <w:bCs/>
                <w:sz w:val="18"/>
                <w:szCs w:val="18"/>
                <w:lang w:eastAsia="en-GB"/>
              </w:rPr>
            </w:pPr>
            <w:r w:rsidRPr="003239AE">
              <w:rPr>
                <w:rFonts w:cs="Arial"/>
                <w:sz w:val="18"/>
                <w:szCs w:val="18"/>
                <w:lang w:eastAsia="en-GB"/>
              </w:rPr>
              <w:t>-</w:t>
            </w:r>
          </w:p>
        </w:tc>
        <w:tc>
          <w:tcPr>
            <w:tcW w:w="1500" w:type="dxa"/>
            <w:tcBorders>
              <w:top w:val="nil"/>
              <w:left w:val="nil"/>
              <w:bottom w:val="nil"/>
              <w:right w:val="nil"/>
            </w:tcBorders>
          </w:tcPr>
          <w:p w14:paraId="1A5FA8B7" w14:textId="77777777" w:rsidR="006669FF" w:rsidRDefault="006669FF" w:rsidP="00B059BA">
            <w:pPr>
              <w:tabs>
                <w:tab w:val="left" w:pos="550"/>
              </w:tabs>
              <w:autoSpaceDE w:val="0"/>
              <w:autoSpaceDN w:val="0"/>
              <w:adjustRightInd w:val="0"/>
              <w:spacing w:before="0" w:after="0"/>
              <w:jc w:val="right"/>
              <w:rPr>
                <w:rFonts w:cs="Arial"/>
                <w:bCs/>
                <w:sz w:val="18"/>
                <w:szCs w:val="18"/>
                <w:lang w:eastAsia="en-GB"/>
              </w:rPr>
            </w:pPr>
            <w:r w:rsidRPr="003239AE">
              <w:rPr>
                <w:rFonts w:cs="Arial"/>
                <w:sz w:val="18"/>
                <w:szCs w:val="18"/>
                <w:lang w:eastAsia="en-GB"/>
              </w:rPr>
              <w:t>-</w:t>
            </w:r>
          </w:p>
        </w:tc>
        <w:tc>
          <w:tcPr>
            <w:tcW w:w="1628" w:type="dxa"/>
            <w:tcBorders>
              <w:top w:val="nil"/>
              <w:left w:val="nil"/>
              <w:bottom w:val="nil"/>
              <w:right w:val="nil"/>
            </w:tcBorders>
          </w:tcPr>
          <w:p w14:paraId="62D837B0" w14:textId="0A5AF23B" w:rsidR="006669FF" w:rsidRDefault="00B059BA" w:rsidP="00B059BA">
            <w:pPr>
              <w:tabs>
                <w:tab w:val="left" w:pos="550"/>
              </w:tabs>
              <w:autoSpaceDE w:val="0"/>
              <w:autoSpaceDN w:val="0"/>
              <w:adjustRightInd w:val="0"/>
              <w:spacing w:before="0" w:after="0"/>
              <w:jc w:val="right"/>
              <w:rPr>
                <w:rFonts w:cs="Arial"/>
                <w:bCs/>
                <w:sz w:val="18"/>
                <w:szCs w:val="18"/>
                <w:lang w:eastAsia="en-GB"/>
              </w:rPr>
            </w:pPr>
            <w:r>
              <w:rPr>
                <w:rFonts w:cs="Arial"/>
                <w:sz w:val="18"/>
                <w:szCs w:val="18"/>
                <w:lang w:eastAsia="en-GB"/>
              </w:rPr>
              <w:t>(</w:t>
            </w:r>
            <w:r w:rsidR="00EF0AF1">
              <w:rPr>
                <w:rFonts w:cs="Arial"/>
                <w:sz w:val="18"/>
                <w:szCs w:val="18"/>
                <w:lang w:eastAsia="en-GB"/>
              </w:rPr>
              <w:t>159,478</w:t>
            </w:r>
            <w:r>
              <w:rPr>
                <w:rFonts w:cs="Arial"/>
                <w:sz w:val="18"/>
                <w:szCs w:val="18"/>
                <w:lang w:eastAsia="en-GB"/>
              </w:rPr>
              <w:t>)</w:t>
            </w:r>
          </w:p>
        </w:tc>
        <w:tc>
          <w:tcPr>
            <w:tcW w:w="1624" w:type="dxa"/>
            <w:tcBorders>
              <w:top w:val="nil"/>
              <w:left w:val="nil"/>
              <w:bottom w:val="nil"/>
              <w:right w:val="nil"/>
            </w:tcBorders>
          </w:tcPr>
          <w:p w14:paraId="1BDD5885" w14:textId="5E0B78CE" w:rsidR="006669FF" w:rsidRPr="000C57B7" w:rsidRDefault="00B059BA" w:rsidP="00B059BA">
            <w:pPr>
              <w:tabs>
                <w:tab w:val="left" w:pos="550"/>
              </w:tabs>
              <w:autoSpaceDE w:val="0"/>
              <w:autoSpaceDN w:val="0"/>
              <w:adjustRightInd w:val="0"/>
              <w:spacing w:before="0" w:after="0"/>
              <w:jc w:val="right"/>
              <w:rPr>
                <w:rFonts w:cs="Arial"/>
                <w:bCs/>
                <w:sz w:val="18"/>
                <w:szCs w:val="18"/>
                <w:lang w:eastAsia="en-GB"/>
              </w:rPr>
            </w:pPr>
            <w:r>
              <w:rPr>
                <w:rFonts w:cs="Arial"/>
                <w:bCs/>
                <w:sz w:val="18"/>
                <w:szCs w:val="18"/>
                <w:lang w:eastAsia="en-GB"/>
              </w:rPr>
              <w:t>(</w:t>
            </w:r>
            <w:r w:rsidR="00EF0AF1">
              <w:rPr>
                <w:rFonts w:cs="Arial"/>
                <w:bCs/>
                <w:sz w:val="18"/>
                <w:szCs w:val="18"/>
                <w:lang w:eastAsia="en-GB"/>
              </w:rPr>
              <w:t>159,478</w:t>
            </w:r>
            <w:r>
              <w:rPr>
                <w:rFonts w:cs="Arial"/>
                <w:bCs/>
                <w:sz w:val="18"/>
                <w:szCs w:val="18"/>
                <w:lang w:eastAsia="en-GB"/>
              </w:rPr>
              <w:t>)</w:t>
            </w:r>
          </w:p>
        </w:tc>
      </w:tr>
      <w:tr w:rsidR="006669FF" w:rsidRPr="003239AE" w14:paraId="05141F0E" w14:textId="77777777" w:rsidTr="004856E9">
        <w:trPr>
          <w:trHeight w:val="347"/>
        </w:trPr>
        <w:tc>
          <w:tcPr>
            <w:tcW w:w="3002" w:type="dxa"/>
            <w:tcBorders>
              <w:top w:val="nil"/>
              <w:left w:val="nil"/>
              <w:bottom w:val="nil"/>
              <w:right w:val="nil"/>
            </w:tcBorders>
          </w:tcPr>
          <w:p w14:paraId="432635F7" w14:textId="77777777" w:rsidR="006669FF" w:rsidRPr="003239AE" w:rsidRDefault="006669FF" w:rsidP="006669FF">
            <w:pPr>
              <w:tabs>
                <w:tab w:val="left" w:pos="550"/>
              </w:tabs>
              <w:autoSpaceDE w:val="0"/>
              <w:autoSpaceDN w:val="0"/>
              <w:adjustRightInd w:val="0"/>
              <w:spacing w:before="0" w:after="0"/>
              <w:rPr>
                <w:rFonts w:cs="Arial"/>
                <w:sz w:val="18"/>
                <w:szCs w:val="18"/>
                <w:lang w:eastAsia="en-GB"/>
              </w:rPr>
            </w:pPr>
            <w:r w:rsidRPr="003239AE">
              <w:rPr>
                <w:rFonts w:cs="Arial"/>
                <w:b/>
                <w:sz w:val="18"/>
                <w:szCs w:val="18"/>
                <w:lang w:eastAsia="en-GB"/>
              </w:rPr>
              <w:t>Balance at 31 January 20</w:t>
            </w:r>
            <w:r>
              <w:rPr>
                <w:rFonts w:cs="Arial"/>
                <w:b/>
                <w:sz w:val="18"/>
                <w:szCs w:val="18"/>
                <w:lang w:eastAsia="en-GB"/>
              </w:rPr>
              <w:t>2</w:t>
            </w:r>
            <w:r w:rsidR="003F10B3">
              <w:rPr>
                <w:rFonts w:cs="Arial"/>
                <w:b/>
                <w:sz w:val="18"/>
                <w:szCs w:val="18"/>
                <w:lang w:eastAsia="en-GB"/>
              </w:rPr>
              <w:t>3</w:t>
            </w:r>
          </w:p>
        </w:tc>
        <w:tc>
          <w:tcPr>
            <w:tcW w:w="1404" w:type="dxa"/>
            <w:tcBorders>
              <w:top w:val="single" w:sz="4" w:space="0" w:color="auto"/>
              <w:left w:val="nil"/>
              <w:bottom w:val="nil"/>
              <w:right w:val="nil"/>
            </w:tcBorders>
          </w:tcPr>
          <w:p w14:paraId="2BF12C35" w14:textId="77777777" w:rsidR="006669FF" w:rsidRPr="003239AE" w:rsidRDefault="00B059BA" w:rsidP="00B059BA">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320,500</w:t>
            </w:r>
          </w:p>
        </w:tc>
        <w:tc>
          <w:tcPr>
            <w:tcW w:w="1500" w:type="dxa"/>
            <w:tcBorders>
              <w:top w:val="single" w:sz="4" w:space="0" w:color="auto"/>
              <w:left w:val="nil"/>
              <w:bottom w:val="nil"/>
              <w:right w:val="nil"/>
            </w:tcBorders>
          </w:tcPr>
          <w:p w14:paraId="5E39C12C" w14:textId="77777777" w:rsidR="006669FF" w:rsidRPr="003239AE" w:rsidRDefault="00B059BA" w:rsidP="00B059BA">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406,167</w:t>
            </w:r>
          </w:p>
        </w:tc>
        <w:tc>
          <w:tcPr>
            <w:tcW w:w="1628" w:type="dxa"/>
            <w:tcBorders>
              <w:top w:val="single" w:sz="4" w:space="0" w:color="auto"/>
              <w:left w:val="nil"/>
              <w:bottom w:val="nil"/>
              <w:right w:val="nil"/>
            </w:tcBorders>
          </w:tcPr>
          <w:p w14:paraId="68B49F9B" w14:textId="79265997" w:rsidR="006669FF" w:rsidRPr="003239AE" w:rsidRDefault="00B059BA" w:rsidP="00B059BA">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w:t>
            </w:r>
            <w:r w:rsidR="00EF0AF1">
              <w:rPr>
                <w:rFonts w:cs="Arial"/>
                <w:b/>
                <w:sz w:val="18"/>
                <w:szCs w:val="18"/>
                <w:lang w:eastAsia="en-GB"/>
              </w:rPr>
              <w:t>715,542</w:t>
            </w:r>
            <w:r>
              <w:rPr>
                <w:rFonts w:cs="Arial"/>
                <w:b/>
                <w:sz w:val="18"/>
                <w:szCs w:val="18"/>
                <w:lang w:eastAsia="en-GB"/>
              </w:rPr>
              <w:t>)</w:t>
            </w:r>
          </w:p>
        </w:tc>
        <w:tc>
          <w:tcPr>
            <w:tcW w:w="1624" w:type="dxa"/>
            <w:tcBorders>
              <w:top w:val="single" w:sz="4" w:space="0" w:color="auto"/>
              <w:left w:val="nil"/>
              <w:bottom w:val="nil"/>
              <w:right w:val="nil"/>
            </w:tcBorders>
          </w:tcPr>
          <w:p w14:paraId="745BE95A" w14:textId="4F47DF21" w:rsidR="006669FF" w:rsidRPr="003239AE" w:rsidRDefault="00EF0AF1" w:rsidP="00B059BA">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11,12</w:t>
            </w:r>
            <w:r w:rsidR="00E1461E">
              <w:rPr>
                <w:rFonts w:cs="Arial"/>
                <w:b/>
                <w:sz w:val="18"/>
                <w:szCs w:val="18"/>
                <w:lang w:eastAsia="en-GB"/>
              </w:rPr>
              <w:t>5</w:t>
            </w:r>
          </w:p>
        </w:tc>
      </w:tr>
    </w:tbl>
    <w:p w14:paraId="5D234724" w14:textId="77777777" w:rsidR="00761544" w:rsidRPr="00720743" w:rsidRDefault="00761544" w:rsidP="00761544">
      <w:pPr>
        <w:spacing w:after="0"/>
        <w:rPr>
          <w:rFonts w:cstheme="minorHAnsi"/>
          <w:sz w:val="18"/>
          <w:szCs w:val="18"/>
        </w:rPr>
      </w:pPr>
      <w:r w:rsidRPr="00720743">
        <w:rPr>
          <w:rFonts w:cstheme="minorHAnsi"/>
          <w:sz w:val="18"/>
          <w:szCs w:val="18"/>
        </w:rPr>
        <w:t xml:space="preserve">The notes </w:t>
      </w:r>
      <w:r w:rsidRPr="00720743">
        <w:rPr>
          <w:rFonts w:eastAsia="MS Mincho" w:cstheme="minorHAnsi"/>
          <w:bCs/>
          <w:color w:val="000000" w:themeColor="text1"/>
          <w:sz w:val="18"/>
          <w:szCs w:val="18"/>
          <w:lang w:val="en-US" w:eastAsia="zh-TW"/>
        </w:rPr>
        <w:t>to the financial statements form an integral part of these financial statements.</w:t>
      </w:r>
    </w:p>
    <w:p w14:paraId="6FF80B37" w14:textId="77777777" w:rsidR="00230970" w:rsidRPr="00F957BF" w:rsidRDefault="00230970" w:rsidP="00230970">
      <w:pPr>
        <w:tabs>
          <w:tab w:val="right" w:pos="550"/>
          <w:tab w:val="left" w:pos="5245"/>
          <w:tab w:val="right" w:pos="7371"/>
        </w:tabs>
        <w:autoSpaceDE w:val="0"/>
        <w:autoSpaceDN w:val="0"/>
        <w:adjustRightInd w:val="0"/>
        <w:rPr>
          <w:rFonts w:cs="Arial"/>
          <w:b/>
          <w:bCs/>
          <w:sz w:val="18"/>
          <w:szCs w:val="18"/>
          <w:lang w:eastAsia="en-GB"/>
        </w:rPr>
      </w:pPr>
    </w:p>
    <w:p w14:paraId="19D3207D" w14:textId="77777777" w:rsidR="00F24BF9" w:rsidRDefault="00230970" w:rsidP="00230970">
      <w:pPr>
        <w:widowControl/>
        <w:spacing w:before="0" w:after="160" w:line="259" w:lineRule="auto"/>
        <w:jc w:val="left"/>
        <w:rPr>
          <w:rFonts w:eastAsiaTheme="minorEastAsia" w:cs="Arial"/>
          <w:sz w:val="18"/>
          <w:szCs w:val="18"/>
        </w:rPr>
        <w:sectPr w:rsidR="00F24BF9" w:rsidSect="00775320">
          <w:headerReference w:type="first" r:id="rId26"/>
          <w:endnotePr>
            <w:numFmt w:val="decimal"/>
          </w:endnotePr>
          <w:pgSz w:w="11909" w:h="16834"/>
          <w:pgMar w:top="1264" w:right="1009" w:bottom="1701" w:left="1440" w:header="666" w:footer="1140" w:gutter="0"/>
          <w:paperSrc w:first="7" w:other="7"/>
          <w:cols w:space="720"/>
          <w:titlePg/>
          <w:docGrid w:linePitch="286"/>
        </w:sectPr>
      </w:pPr>
      <w:r>
        <w:rPr>
          <w:rFonts w:eastAsiaTheme="minorEastAsia" w:cs="Arial"/>
          <w:sz w:val="18"/>
          <w:szCs w:val="18"/>
        </w:rPr>
        <w:br w:type="page"/>
      </w:r>
    </w:p>
    <w:p w14:paraId="53921747" w14:textId="77777777" w:rsid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ASHFLOWS</w:t>
      </w:r>
    </w:p>
    <w:p w14:paraId="2693DDA7" w14:textId="77777777" w:rsidR="00230970" w:rsidRP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21069D">
        <w:rPr>
          <w:rFonts w:asciiTheme="minorHAnsi" w:eastAsia="SimSun" w:hAnsiTheme="minorHAnsi" w:cstheme="minorHAnsi"/>
          <w:b/>
          <w:bCs/>
          <w:color w:val="auto"/>
          <w:kern w:val="2"/>
          <w:lang w:val="en-GB" w:eastAsia="zh-CN"/>
        </w:rPr>
        <w:t>3</w:t>
      </w:r>
    </w:p>
    <w:p w14:paraId="11AB27DD" w14:textId="77777777" w:rsidR="009E46DF" w:rsidRPr="007D673F" w:rsidRDefault="009E46DF" w:rsidP="00230970">
      <w:pPr>
        <w:rPr>
          <w:rFonts w:cs="Arial"/>
          <w:color w:val="000000" w:themeColor="text1"/>
          <w:sz w:val="18"/>
          <w:szCs w:val="18"/>
        </w:rPr>
      </w:pPr>
    </w:p>
    <w:tbl>
      <w:tblPr>
        <w:tblW w:w="9910" w:type="dxa"/>
        <w:tblLayout w:type="fixed"/>
        <w:tblLook w:val="0000" w:firstRow="0" w:lastRow="0" w:firstColumn="0" w:lastColumn="0" w:noHBand="0" w:noVBand="0"/>
      </w:tblPr>
      <w:tblGrid>
        <w:gridCol w:w="3969"/>
        <w:gridCol w:w="475"/>
        <w:gridCol w:w="236"/>
        <w:gridCol w:w="277"/>
        <w:gridCol w:w="984"/>
        <w:gridCol w:w="8"/>
        <w:gridCol w:w="1551"/>
        <w:gridCol w:w="8"/>
        <w:gridCol w:w="851"/>
        <w:gridCol w:w="1515"/>
        <w:gridCol w:w="36"/>
      </w:tblGrid>
      <w:tr w:rsidR="00BD294B" w:rsidRPr="007D673F" w14:paraId="12FA852D" w14:textId="77777777" w:rsidTr="00CB13B7">
        <w:trPr>
          <w:gridAfter w:val="1"/>
          <w:wAfter w:w="36" w:type="dxa"/>
          <w:trHeight w:val="250"/>
        </w:trPr>
        <w:tc>
          <w:tcPr>
            <w:tcW w:w="3969" w:type="dxa"/>
            <w:vAlign w:val="bottom"/>
          </w:tcPr>
          <w:p w14:paraId="6E24F4BE"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475" w:type="dxa"/>
          </w:tcPr>
          <w:p w14:paraId="1ACE045A"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236" w:type="dxa"/>
            <w:vAlign w:val="bottom"/>
          </w:tcPr>
          <w:p w14:paraId="6C89B6C0"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77" w:type="dxa"/>
          </w:tcPr>
          <w:p w14:paraId="7A34DD95"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992" w:type="dxa"/>
            <w:gridSpan w:val="2"/>
            <w:vAlign w:val="bottom"/>
          </w:tcPr>
          <w:p w14:paraId="59258474"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9" w:type="dxa"/>
            <w:gridSpan w:val="2"/>
            <w:vAlign w:val="bottom"/>
          </w:tcPr>
          <w:p w14:paraId="0F574291"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r w:rsidRPr="003239AE">
              <w:rPr>
                <w:rFonts w:cstheme="minorHAnsi"/>
                <w:b/>
                <w:color w:val="000000" w:themeColor="text1"/>
                <w:sz w:val="18"/>
                <w:szCs w:val="18"/>
              </w:rPr>
              <w:t>Year ended</w:t>
            </w:r>
          </w:p>
          <w:p w14:paraId="21A161C9"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r w:rsidRPr="003239AE">
              <w:rPr>
                <w:rFonts w:cstheme="minorHAnsi"/>
                <w:b/>
                <w:bCs/>
                <w:color w:val="000000" w:themeColor="text1"/>
                <w:sz w:val="18"/>
                <w:szCs w:val="18"/>
              </w:rPr>
              <w:t>31 January 20</w:t>
            </w:r>
            <w:r>
              <w:rPr>
                <w:rFonts w:cstheme="minorHAnsi"/>
                <w:b/>
                <w:bCs/>
                <w:color w:val="000000" w:themeColor="text1"/>
                <w:sz w:val="18"/>
                <w:szCs w:val="18"/>
              </w:rPr>
              <w:t>2</w:t>
            </w:r>
            <w:r w:rsidR="003F10B3">
              <w:rPr>
                <w:rFonts w:cstheme="minorHAnsi"/>
                <w:b/>
                <w:bCs/>
                <w:color w:val="000000" w:themeColor="text1"/>
                <w:sz w:val="18"/>
                <w:szCs w:val="18"/>
              </w:rPr>
              <w:t>3</w:t>
            </w:r>
          </w:p>
        </w:tc>
        <w:tc>
          <w:tcPr>
            <w:tcW w:w="851" w:type="dxa"/>
          </w:tcPr>
          <w:p w14:paraId="47311CD5" w14:textId="77777777" w:rsidR="00BD294B" w:rsidRPr="003239AE" w:rsidRDefault="00BD294B" w:rsidP="00F24BF9">
            <w:pPr>
              <w:autoSpaceDE w:val="0"/>
              <w:autoSpaceDN w:val="0"/>
              <w:adjustRightInd w:val="0"/>
              <w:spacing w:before="0" w:after="0"/>
              <w:ind w:right="-108"/>
              <w:jc w:val="right"/>
              <w:rPr>
                <w:rFonts w:cstheme="minorHAnsi"/>
                <w:b/>
                <w:bCs/>
                <w:color w:val="000000" w:themeColor="text1"/>
                <w:sz w:val="18"/>
                <w:szCs w:val="18"/>
              </w:rPr>
            </w:pPr>
          </w:p>
        </w:tc>
        <w:tc>
          <w:tcPr>
            <w:tcW w:w="1515" w:type="dxa"/>
            <w:vAlign w:val="bottom"/>
          </w:tcPr>
          <w:p w14:paraId="422BF5CA"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r w:rsidRPr="003239AE">
              <w:rPr>
                <w:rFonts w:cstheme="minorHAnsi"/>
                <w:b/>
                <w:color w:val="000000" w:themeColor="text1"/>
                <w:sz w:val="18"/>
                <w:szCs w:val="18"/>
              </w:rPr>
              <w:t>Year ended</w:t>
            </w:r>
          </w:p>
          <w:p w14:paraId="2B811B21"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r w:rsidRPr="003239AE">
              <w:rPr>
                <w:rFonts w:cstheme="minorHAnsi"/>
                <w:b/>
                <w:bCs/>
                <w:color w:val="000000" w:themeColor="text1"/>
                <w:sz w:val="18"/>
                <w:szCs w:val="18"/>
              </w:rPr>
              <w:t>31 January 20</w:t>
            </w:r>
            <w:r w:rsidR="00A70100">
              <w:rPr>
                <w:rFonts w:cstheme="minorHAnsi"/>
                <w:b/>
                <w:bCs/>
                <w:color w:val="000000" w:themeColor="text1"/>
                <w:sz w:val="18"/>
                <w:szCs w:val="18"/>
              </w:rPr>
              <w:t>2</w:t>
            </w:r>
            <w:r w:rsidR="003F10B3">
              <w:rPr>
                <w:rFonts w:cstheme="minorHAnsi"/>
                <w:b/>
                <w:bCs/>
                <w:color w:val="000000" w:themeColor="text1"/>
                <w:sz w:val="18"/>
                <w:szCs w:val="18"/>
              </w:rPr>
              <w:t>2</w:t>
            </w:r>
          </w:p>
        </w:tc>
      </w:tr>
      <w:tr w:rsidR="00BD294B" w:rsidRPr="007D673F" w14:paraId="05CA4958" w14:textId="77777777" w:rsidTr="00CB13B7">
        <w:trPr>
          <w:trHeight w:val="250"/>
        </w:trPr>
        <w:tc>
          <w:tcPr>
            <w:tcW w:w="3969" w:type="dxa"/>
            <w:vAlign w:val="bottom"/>
          </w:tcPr>
          <w:p w14:paraId="2FD3CE10"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475" w:type="dxa"/>
          </w:tcPr>
          <w:p w14:paraId="6B9516EC"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36" w:type="dxa"/>
            <w:vAlign w:val="bottom"/>
          </w:tcPr>
          <w:p w14:paraId="519D5724"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77" w:type="dxa"/>
            <w:vAlign w:val="bottom"/>
          </w:tcPr>
          <w:p w14:paraId="1C24E037"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984" w:type="dxa"/>
            <w:vAlign w:val="bottom"/>
          </w:tcPr>
          <w:p w14:paraId="4DBA532E"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9" w:type="dxa"/>
            <w:gridSpan w:val="2"/>
            <w:vAlign w:val="bottom"/>
          </w:tcPr>
          <w:p w14:paraId="0015E435"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r w:rsidRPr="003239AE">
              <w:rPr>
                <w:rFonts w:cstheme="minorHAnsi"/>
                <w:b/>
                <w:bCs/>
                <w:color w:val="000000" w:themeColor="text1"/>
                <w:sz w:val="18"/>
                <w:szCs w:val="18"/>
              </w:rPr>
              <w:t>£</w:t>
            </w:r>
          </w:p>
        </w:tc>
        <w:tc>
          <w:tcPr>
            <w:tcW w:w="859" w:type="dxa"/>
            <w:gridSpan w:val="2"/>
            <w:vAlign w:val="bottom"/>
          </w:tcPr>
          <w:p w14:paraId="62E06638"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1" w:type="dxa"/>
            <w:gridSpan w:val="2"/>
            <w:vAlign w:val="bottom"/>
          </w:tcPr>
          <w:p w14:paraId="55BE6F8D"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r w:rsidRPr="003239AE">
              <w:rPr>
                <w:rFonts w:cstheme="minorHAnsi"/>
                <w:b/>
                <w:bCs/>
                <w:color w:val="000000" w:themeColor="text1"/>
                <w:sz w:val="18"/>
                <w:szCs w:val="18"/>
              </w:rPr>
              <w:t>£</w:t>
            </w:r>
          </w:p>
        </w:tc>
      </w:tr>
      <w:tr w:rsidR="00BD294B" w:rsidRPr="007D673F" w14:paraId="43D8A08A" w14:textId="77777777" w:rsidTr="00CB13B7">
        <w:trPr>
          <w:trHeight w:val="216"/>
        </w:trPr>
        <w:tc>
          <w:tcPr>
            <w:tcW w:w="3969" w:type="dxa"/>
            <w:vAlign w:val="bottom"/>
          </w:tcPr>
          <w:p w14:paraId="3C6C75A2" w14:textId="77777777" w:rsidR="00BD294B" w:rsidRPr="003239AE" w:rsidRDefault="00BD294B" w:rsidP="00F24BF9">
            <w:pPr>
              <w:autoSpaceDE w:val="0"/>
              <w:autoSpaceDN w:val="0"/>
              <w:adjustRightInd w:val="0"/>
              <w:spacing w:before="0" w:after="0"/>
              <w:rPr>
                <w:rFonts w:cstheme="minorHAnsi"/>
                <w:b/>
                <w:color w:val="000000" w:themeColor="text1"/>
                <w:sz w:val="18"/>
                <w:szCs w:val="18"/>
              </w:rPr>
            </w:pPr>
          </w:p>
        </w:tc>
        <w:tc>
          <w:tcPr>
            <w:tcW w:w="475" w:type="dxa"/>
          </w:tcPr>
          <w:p w14:paraId="27E99854"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47858523"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68517983"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18AF82B7"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20365E14"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859" w:type="dxa"/>
            <w:gridSpan w:val="2"/>
          </w:tcPr>
          <w:p w14:paraId="60C3F690"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58D6CF39"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r>
      <w:tr w:rsidR="003F10B3" w:rsidRPr="007D673F" w14:paraId="0608048B" w14:textId="77777777" w:rsidTr="00CB13B7">
        <w:trPr>
          <w:trHeight w:val="216"/>
        </w:trPr>
        <w:tc>
          <w:tcPr>
            <w:tcW w:w="3969" w:type="dxa"/>
            <w:vAlign w:val="bottom"/>
          </w:tcPr>
          <w:p w14:paraId="68939803" w14:textId="77777777" w:rsidR="003F10B3" w:rsidRPr="003239AE" w:rsidRDefault="003F10B3" w:rsidP="003F10B3">
            <w:pPr>
              <w:autoSpaceDE w:val="0"/>
              <w:autoSpaceDN w:val="0"/>
              <w:adjustRightInd w:val="0"/>
              <w:spacing w:before="0" w:after="0"/>
              <w:rPr>
                <w:rFonts w:cstheme="minorHAnsi"/>
                <w:b/>
                <w:color w:val="000000" w:themeColor="text1"/>
                <w:sz w:val="18"/>
                <w:szCs w:val="18"/>
              </w:rPr>
            </w:pPr>
            <w:r w:rsidRPr="003239AE">
              <w:rPr>
                <w:rFonts w:cstheme="minorHAnsi"/>
                <w:b/>
                <w:color w:val="000000" w:themeColor="text1"/>
                <w:sz w:val="18"/>
                <w:szCs w:val="18"/>
              </w:rPr>
              <w:t>Loss before tax</w:t>
            </w:r>
          </w:p>
        </w:tc>
        <w:tc>
          <w:tcPr>
            <w:tcW w:w="475" w:type="dxa"/>
          </w:tcPr>
          <w:p w14:paraId="013B88AE"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63F729AA"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1C065047"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984" w:type="dxa"/>
          </w:tcPr>
          <w:p w14:paraId="394279DA"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464973AA" w14:textId="1347D6C6" w:rsidR="003F10B3" w:rsidRPr="003239AE" w:rsidRDefault="00B059BA" w:rsidP="008532C2">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EF0AF1">
              <w:rPr>
                <w:rFonts w:cstheme="minorHAnsi"/>
                <w:color w:val="000000" w:themeColor="text1"/>
                <w:sz w:val="18"/>
                <w:szCs w:val="18"/>
              </w:rPr>
              <w:t>159,</w:t>
            </w:r>
            <w:r w:rsidR="00E1461E">
              <w:rPr>
                <w:rFonts w:cstheme="minorHAnsi"/>
                <w:color w:val="000000" w:themeColor="text1"/>
                <w:sz w:val="18"/>
                <w:szCs w:val="18"/>
              </w:rPr>
              <w:t>47</w:t>
            </w:r>
            <w:r w:rsidR="00EF0AF1">
              <w:rPr>
                <w:rFonts w:cstheme="minorHAnsi"/>
                <w:color w:val="000000" w:themeColor="text1"/>
                <w:sz w:val="18"/>
                <w:szCs w:val="18"/>
              </w:rPr>
              <w:t>8</w:t>
            </w:r>
            <w:r>
              <w:rPr>
                <w:rFonts w:cstheme="minorHAnsi"/>
                <w:color w:val="000000" w:themeColor="text1"/>
                <w:sz w:val="18"/>
                <w:szCs w:val="18"/>
              </w:rPr>
              <w:t>)</w:t>
            </w:r>
          </w:p>
        </w:tc>
        <w:tc>
          <w:tcPr>
            <w:tcW w:w="859" w:type="dxa"/>
            <w:gridSpan w:val="2"/>
          </w:tcPr>
          <w:p w14:paraId="0AE727F0"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60F3DA3B"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r w:rsidRPr="003239AE">
              <w:rPr>
                <w:rFonts w:cstheme="minorHAnsi"/>
                <w:color w:val="000000" w:themeColor="text1"/>
                <w:sz w:val="18"/>
                <w:szCs w:val="18"/>
              </w:rPr>
              <w:t>(</w:t>
            </w:r>
            <w:r>
              <w:rPr>
                <w:rFonts w:cstheme="minorHAnsi"/>
                <w:color w:val="000000" w:themeColor="text1"/>
                <w:sz w:val="18"/>
                <w:szCs w:val="18"/>
              </w:rPr>
              <w:t>172,760</w:t>
            </w:r>
            <w:r w:rsidRPr="003239AE">
              <w:rPr>
                <w:rFonts w:cstheme="minorHAnsi"/>
                <w:color w:val="000000" w:themeColor="text1"/>
                <w:sz w:val="18"/>
                <w:szCs w:val="18"/>
              </w:rPr>
              <w:t>)</w:t>
            </w:r>
          </w:p>
        </w:tc>
      </w:tr>
      <w:tr w:rsidR="003F10B3" w:rsidRPr="007D673F" w14:paraId="26442BE1" w14:textId="77777777" w:rsidTr="00CB13B7">
        <w:trPr>
          <w:trHeight w:val="216"/>
        </w:trPr>
        <w:tc>
          <w:tcPr>
            <w:tcW w:w="3969" w:type="dxa"/>
            <w:vAlign w:val="bottom"/>
          </w:tcPr>
          <w:p w14:paraId="7CA30CAD" w14:textId="77777777" w:rsidR="003F10B3" w:rsidRPr="003239AE" w:rsidRDefault="003F10B3" w:rsidP="003F10B3">
            <w:pPr>
              <w:autoSpaceDE w:val="0"/>
              <w:autoSpaceDN w:val="0"/>
              <w:adjustRightInd w:val="0"/>
              <w:spacing w:before="0" w:after="0"/>
              <w:rPr>
                <w:rFonts w:cstheme="minorHAnsi"/>
                <w:i/>
                <w:color w:val="000000" w:themeColor="text1"/>
                <w:sz w:val="18"/>
                <w:szCs w:val="18"/>
                <w:u w:val="single"/>
              </w:rPr>
            </w:pPr>
            <w:r w:rsidRPr="003239AE">
              <w:rPr>
                <w:rFonts w:cstheme="minorHAnsi"/>
                <w:i/>
                <w:color w:val="000000" w:themeColor="text1"/>
                <w:sz w:val="18"/>
                <w:szCs w:val="18"/>
                <w:u w:val="single"/>
              </w:rPr>
              <w:t>Adjusted for:</w:t>
            </w:r>
          </w:p>
        </w:tc>
        <w:tc>
          <w:tcPr>
            <w:tcW w:w="475" w:type="dxa"/>
          </w:tcPr>
          <w:p w14:paraId="162A544B"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70F07611"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53EE6C8D"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984" w:type="dxa"/>
          </w:tcPr>
          <w:p w14:paraId="7CC73928"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01E8AEDE" w14:textId="77777777" w:rsidR="003F10B3" w:rsidRPr="003239AE" w:rsidRDefault="003F10B3" w:rsidP="008532C2">
            <w:pPr>
              <w:autoSpaceDE w:val="0"/>
              <w:autoSpaceDN w:val="0"/>
              <w:adjustRightInd w:val="0"/>
              <w:spacing w:before="0" w:after="0"/>
              <w:jc w:val="right"/>
              <w:rPr>
                <w:rFonts w:cstheme="minorHAnsi"/>
                <w:color w:val="000000" w:themeColor="text1"/>
                <w:sz w:val="18"/>
                <w:szCs w:val="18"/>
              </w:rPr>
            </w:pPr>
          </w:p>
        </w:tc>
        <w:tc>
          <w:tcPr>
            <w:tcW w:w="859" w:type="dxa"/>
            <w:gridSpan w:val="2"/>
          </w:tcPr>
          <w:p w14:paraId="56892D86"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67A45455"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r>
      <w:tr w:rsidR="003F10B3" w:rsidRPr="007D673F" w14:paraId="654F5D51" w14:textId="77777777" w:rsidTr="00CB13B7">
        <w:trPr>
          <w:trHeight w:val="216"/>
        </w:trPr>
        <w:tc>
          <w:tcPr>
            <w:tcW w:w="3969" w:type="dxa"/>
            <w:vAlign w:val="bottom"/>
          </w:tcPr>
          <w:p w14:paraId="205418E7" w14:textId="77777777" w:rsidR="003F10B3" w:rsidRPr="00E94619" w:rsidRDefault="003F10B3" w:rsidP="003F10B3">
            <w:pPr>
              <w:autoSpaceDE w:val="0"/>
              <w:autoSpaceDN w:val="0"/>
              <w:adjustRightInd w:val="0"/>
              <w:spacing w:before="0" w:after="0"/>
              <w:rPr>
                <w:rFonts w:cstheme="minorHAnsi"/>
                <w:iCs/>
                <w:color w:val="000000" w:themeColor="text1"/>
                <w:sz w:val="18"/>
                <w:szCs w:val="18"/>
              </w:rPr>
            </w:pPr>
            <w:r>
              <w:rPr>
                <w:rFonts w:cstheme="minorHAnsi"/>
                <w:iCs/>
                <w:color w:val="000000" w:themeColor="text1"/>
                <w:sz w:val="18"/>
                <w:szCs w:val="18"/>
              </w:rPr>
              <w:t>(Increase)/Decrease in trade and other receivables</w:t>
            </w:r>
          </w:p>
        </w:tc>
        <w:tc>
          <w:tcPr>
            <w:tcW w:w="475" w:type="dxa"/>
          </w:tcPr>
          <w:p w14:paraId="554C184E"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634D3FA0"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258ECE6B"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984" w:type="dxa"/>
          </w:tcPr>
          <w:p w14:paraId="7291AAEC"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59570795" w14:textId="46071EFB" w:rsidR="003F10B3" w:rsidRPr="003239AE" w:rsidRDefault="008532C2" w:rsidP="008532C2">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EF0AF1">
              <w:rPr>
                <w:rFonts w:cstheme="minorHAnsi"/>
                <w:color w:val="000000" w:themeColor="text1"/>
                <w:sz w:val="18"/>
                <w:szCs w:val="18"/>
              </w:rPr>
              <w:t>14,010</w:t>
            </w:r>
            <w:r>
              <w:rPr>
                <w:rFonts w:cstheme="minorHAnsi"/>
                <w:color w:val="000000" w:themeColor="text1"/>
                <w:sz w:val="18"/>
                <w:szCs w:val="18"/>
              </w:rPr>
              <w:t>)</w:t>
            </w:r>
          </w:p>
        </w:tc>
        <w:tc>
          <w:tcPr>
            <w:tcW w:w="859" w:type="dxa"/>
            <w:gridSpan w:val="2"/>
          </w:tcPr>
          <w:p w14:paraId="7ACAD609"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52822196"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16,922</w:t>
            </w:r>
          </w:p>
        </w:tc>
      </w:tr>
      <w:tr w:rsidR="003F10B3" w:rsidRPr="007D673F" w14:paraId="12EA4F40" w14:textId="77777777" w:rsidTr="004856E9">
        <w:trPr>
          <w:trHeight w:val="216"/>
        </w:trPr>
        <w:tc>
          <w:tcPr>
            <w:tcW w:w="3969" w:type="dxa"/>
            <w:vAlign w:val="bottom"/>
          </w:tcPr>
          <w:p w14:paraId="30BBE6DC" w14:textId="6D84C92D" w:rsidR="003F10B3" w:rsidRPr="003239AE" w:rsidRDefault="003F10B3" w:rsidP="003F10B3">
            <w:pPr>
              <w:autoSpaceDE w:val="0"/>
              <w:autoSpaceDN w:val="0"/>
              <w:adjustRightInd w:val="0"/>
              <w:spacing w:before="0" w:after="0"/>
              <w:rPr>
                <w:rFonts w:cstheme="minorHAnsi"/>
                <w:color w:val="000000" w:themeColor="text1"/>
                <w:sz w:val="18"/>
                <w:szCs w:val="18"/>
              </w:rPr>
            </w:pPr>
            <w:r>
              <w:rPr>
                <w:rFonts w:cstheme="minorHAnsi"/>
                <w:color w:val="000000" w:themeColor="text1"/>
                <w:sz w:val="18"/>
                <w:szCs w:val="18"/>
              </w:rPr>
              <w:t>(Decrease)/Increase</w:t>
            </w:r>
            <w:r w:rsidRPr="003239AE">
              <w:rPr>
                <w:rFonts w:cstheme="minorHAnsi"/>
                <w:color w:val="000000" w:themeColor="text1"/>
                <w:sz w:val="18"/>
                <w:szCs w:val="18"/>
              </w:rPr>
              <w:t xml:space="preserve"> in trade </w:t>
            </w:r>
            <w:r w:rsidR="00554E67">
              <w:rPr>
                <w:rFonts w:cstheme="minorHAnsi"/>
                <w:color w:val="000000" w:themeColor="text1"/>
                <w:sz w:val="18"/>
                <w:szCs w:val="18"/>
              </w:rPr>
              <w:t xml:space="preserve">and other </w:t>
            </w:r>
            <w:r w:rsidRPr="003239AE">
              <w:rPr>
                <w:rFonts w:cstheme="minorHAnsi"/>
                <w:color w:val="000000" w:themeColor="text1"/>
                <w:sz w:val="18"/>
                <w:szCs w:val="18"/>
              </w:rPr>
              <w:t>creditors</w:t>
            </w:r>
          </w:p>
        </w:tc>
        <w:tc>
          <w:tcPr>
            <w:tcW w:w="475" w:type="dxa"/>
          </w:tcPr>
          <w:p w14:paraId="3394581F"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5D055AB4"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31758322"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984" w:type="dxa"/>
          </w:tcPr>
          <w:p w14:paraId="04347DBB"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tcBorders>
              <w:bottom w:val="single" w:sz="4" w:space="0" w:color="auto"/>
            </w:tcBorders>
            <w:vAlign w:val="center"/>
          </w:tcPr>
          <w:p w14:paraId="6CC82242" w14:textId="167F1B3D" w:rsidR="003F10B3" w:rsidRPr="003239AE" w:rsidRDefault="00554E67" w:rsidP="008532C2">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21,344</w:t>
            </w:r>
          </w:p>
        </w:tc>
        <w:tc>
          <w:tcPr>
            <w:tcW w:w="859" w:type="dxa"/>
            <w:gridSpan w:val="2"/>
            <w:tcBorders>
              <w:bottom w:val="single" w:sz="4" w:space="0" w:color="auto"/>
            </w:tcBorders>
          </w:tcPr>
          <w:p w14:paraId="54D72813"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tcBorders>
              <w:bottom w:val="single" w:sz="4" w:space="0" w:color="auto"/>
            </w:tcBorders>
            <w:vAlign w:val="center"/>
          </w:tcPr>
          <w:p w14:paraId="5D294288"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(7,460)</w:t>
            </w:r>
          </w:p>
        </w:tc>
      </w:tr>
      <w:tr w:rsidR="003F10B3" w:rsidRPr="007D673F" w14:paraId="6588FB59" w14:textId="77777777" w:rsidTr="00CB13B7">
        <w:trPr>
          <w:trHeight w:val="250"/>
        </w:trPr>
        <w:tc>
          <w:tcPr>
            <w:tcW w:w="3969" w:type="dxa"/>
            <w:vAlign w:val="bottom"/>
          </w:tcPr>
          <w:p w14:paraId="41EEF6AF"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r w:rsidRPr="003239AE">
              <w:rPr>
                <w:rFonts w:cstheme="minorHAnsi"/>
                <w:color w:val="000000" w:themeColor="text1"/>
                <w:sz w:val="18"/>
                <w:szCs w:val="18"/>
              </w:rPr>
              <w:t>Net cash used in operating activities</w:t>
            </w:r>
          </w:p>
        </w:tc>
        <w:tc>
          <w:tcPr>
            <w:tcW w:w="475" w:type="dxa"/>
          </w:tcPr>
          <w:p w14:paraId="077A6667"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7DB73430"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785A0D2B" w14:textId="77777777" w:rsidR="003F10B3" w:rsidRPr="003239AE" w:rsidRDefault="003F10B3" w:rsidP="003F10B3">
            <w:pPr>
              <w:autoSpaceDE w:val="0"/>
              <w:autoSpaceDN w:val="0"/>
              <w:adjustRightInd w:val="0"/>
              <w:spacing w:before="0" w:after="0"/>
              <w:jc w:val="right"/>
              <w:rPr>
                <w:rFonts w:cstheme="minorHAnsi"/>
                <w:bCs/>
                <w:color w:val="000000" w:themeColor="text1"/>
                <w:sz w:val="18"/>
                <w:szCs w:val="18"/>
              </w:rPr>
            </w:pPr>
          </w:p>
        </w:tc>
        <w:tc>
          <w:tcPr>
            <w:tcW w:w="984" w:type="dxa"/>
          </w:tcPr>
          <w:p w14:paraId="31B83504"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tcBorders>
              <w:top w:val="single" w:sz="4" w:space="0" w:color="auto"/>
            </w:tcBorders>
            <w:vAlign w:val="bottom"/>
          </w:tcPr>
          <w:p w14:paraId="02D6A0D1" w14:textId="00DD04E7" w:rsidR="003F10B3" w:rsidRPr="003239AE" w:rsidRDefault="008532C2" w:rsidP="008532C2">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(152,14</w:t>
            </w:r>
            <w:r w:rsidR="000A3D8B">
              <w:rPr>
                <w:rFonts w:cstheme="minorHAnsi"/>
                <w:color w:val="000000" w:themeColor="text1"/>
                <w:sz w:val="18"/>
                <w:szCs w:val="18"/>
              </w:rPr>
              <w:t>4</w:t>
            </w:r>
            <w:r>
              <w:rPr>
                <w:rFonts w:cstheme="minorHAnsi"/>
                <w:color w:val="000000" w:themeColor="text1"/>
                <w:sz w:val="18"/>
                <w:szCs w:val="18"/>
              </w:rPr>
              <w:t>)</w:t>
            </w:r>
          </w:p>
        </w:tc>
        <w:tc>
          <w:tcPr>
            <w:tcW w:w="859" w:type="dxa"/>
            <w:gridSpan w:val="2"/>
            <w:tcBorders>
              <w:top w:val="single" w:sz="4" w:space="0" w:color="auto"/>
            </w:tcBorders>
          </w:tcPr>
          <w:p w14:paraId="7EE4148A"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tcBorders>
              <w:top w:val="single" w:sz="4" w:space="0" w:color="auto"/>
            </w:tcBorders>
            <w:vAlign w:val="bottom"/>
          </w:tcPr>
          <w:p w14:paraId="0EF4EF32"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r w:rsidRPr="003239AE">
              <w:rPr>
                <w:rFonts w:cstheme="minorHAnsi"/>
                <w:color w:val="000000" w:themeColor="text1"/>
                <w:sz w:val="18"/>
                <w:szCs w:val="18"/>
              </w:rPr>
              <w:t>(</w:t>
            </w:r>
            <w:r>
              <w:rPr>
                <w:rFonts w:cstheme="minorHAnsi"/>
                <w:color w:val="000000" w:themeColor="text1"/>
                <w:sz w:val="18"/>
                <w:szCs w:val="18"/>
              </w:rPr>
              <w:t>163,298</w:t>
            </w:r>
            <w:r w:rsidRPr="003239AE">
              <w:rPr>
                <w:rFonts w:cstheme="minorHAnsi"/>
                <w:color w:val="000000" w:themeColor="text1"/>
                <w:sz w:val="18"/>
                <w:szCs w:val="18"/>
              </w:rPr>
              <w:t>)</w:t>
            </w:r>
          </w:p>
        </w:tc>
      </w:tr>
      <w:tr w:rsidR="003F10B3" w:rsidRPr="007D673F" w14:paraId="705BEDCD" w14:textId="77777777" w:rsidTr="00CB13B7">
        <w:trPr>
          <w:trHeight w:val="250"/>
        </w:trPr>
        <w:tc>
          <w:tcPr>
            <w:tcW w:w="3969" w:type="dxa"/>
            <w:vAlign w:val="bottom"/>
          </w:tcPr>
          <w:p w14:paraId="531F6949"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p>
        </w:tc>
        <w:tc>
          <w:tcPr>
            <w:tcW w:w="475" w:type="dxa"/>
          </w:tcPr>
          <w:p w14:paraId="7716FB32"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47AF99A9"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36A6C2D5" w14:textId="77777777" w:rsidR="003F10B3" w:rsidRPr="003239AE" w:rsidRDefault="003F10B3" w:rsidP="003F10B3">
            <w:pPr>
              <w:autoSpaceDE w:val="0"/>
              <w:autoSpaceDN w:val="0"/>
              <w:adjustRightInd w:val="0"/>
              <w:spacing w:before="0" w:after="0"/>
              <w:jc w:val="right"/>
              <w:rPr>
                <w:rFonts w:cstheme="minorHAnsi"/>
                <w:bCs/>
                <w:color w:val="000000" w:themeColor="text1"/>
                <w:sz w:val="18"/>
                <w:szCs w:val="18"/>
              </w:rPr>
            </w:pPr>
          </w:p>
        </w:tc>
        <w:tc>
          <w:tcPr>
            <w:tcW w:w="984" w:type="dxa"/>
          </w:tcPr>
          <w:p w14:paraId="368D486F"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6520A91B" w14:textId="77777777" w:rsidR="003F10B3" w:rsidRPr="003239AE" w:rsidRDefault="003F10B3" w:rsidP="008532C2">
            <w:pPr>
              <w:autoSpaceDE w:val="0"/>
              <w:autoSpaceDN w:val="0"/>
              <w:adjustRightInd w:val="0"/>
              <w:spacing w:before="0" w:after="0"/>
              <w:jc w:val="right"/>
              <w:rPr>
                <w:rFonts w:cstheme="minorHAnsi"/>
                <w:color w:val="000000" w:themeColor="text1"/>
                <w:sz w:val="18"/>
                <w:szCs w:val="18"/>
              </w:rPr>
            </w:pPr>
          </w:p>
        </w:tc>
        <w:tc>
          <w:tcPr>
            <w:tcW w:w="859" w:type="dxa"/>
            <w:gridSpan w:val="2"/>
          </w:tcPr>
          <w:p w14:paraId="31046865"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1125C0A3"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r>
      <w:tr w:rsidR="003F10B3" w:rsidRPr="007D673F" w14:paraId="7C0F9738" w14:textId="77777777" w:rsidTr="00CB13B7">
        <w:trPr>
          <w:trHeight w:val="250"/>
        </w:trPr>
        <w:tc>
          <w:tcPr>
            <w:tcW w:w="3969" w:type="dxa"/>
            <w:vAlign w:val="bottom"/>
          </w:tcPr>
          <w:p w14:paraId="11BEC158" w14:textId="77777777" w:rsidR="003F10B3" w:rsidRPr="003239AE" w:rsidRDefault="003F10B3" w:rsidP="004856E9">
            <w:pPr>
              <w:autoSpaceDE w:val="0"/>
              <w:autoSpaceDN w:val="0"/>
              <w:adjustRightInd w:val="0"/>
              <w:spacing w:before="0" w:after="0"/>
              <w:jc w:val="right"/>
              <w:rPr>
                <w:rFonts w:cstheme="minorHAnsi"/>
                <w:color w:val="000000" w:themeColor="text1"/>
                <w:sz w:val="18"/>
                <w:szCs w:val="18"/>
              </w:rPr>
            </w:pPr>
          </w:p>
        </w:tc>
        <w:tc>
          <w:tcPr>
            <w:tcW w:w="475" w:type="dxa"/>
          </w:tcPr>
          <w:p w14:paraId="5E0C07C9" w14:textId="77777777" w:rsidR="003F10B3" w:rsidRPr="003239AE" w:rsidRDefault="003F10B3" w:rsidP="003F10B3">
            <w:pPr>
              <w:autoSpaceDE w:val="0"/>
              <w:autoSpaceDN w:val="0"/>
              <w:adjustRightInd w:val="0"/>
              <w:spacing w:before="0" w:after="0"/>
              <w:jc w:val="right"/>
              <w:rPr>
                <w:rFonts w:cstheme="minorHAnsi"/>
                <w:sz w:val="18"/>
                <w:szCs w:val="18"/>
              </w:rPr>
            </w:pPr>
          </w:p>
        </w:tc>
        <w:tc>
          <w:tcPr>
            <w:tcW w:w="236" w:type="dxa"/>
            <w:vAlign w:val="bottom"/>
          </w:tcPr>
          <w:p w14:paraId="0E939A6A" w14:textId="77777777" w:rsidR="003F10B3" w:rsidRPr="003239AE" w:rsidRDefault="003F10B3" w:rsidP="003F10B3">
            <w:pPr>
              <w:autoSpaceDE w:val="0"/>
              <w:autoSpaceDN w:val="0"/>
              <w:adjustRightInd w:val="0"/>
              <w:spacing w:before="0" w:after="0"/>
              <w:jc w:val="right"/>
              <w:rPr>
                <w:rFonts w:cstheme="minorHAnsi"/>
                <w:sz w:val="18"/>
                <w:szCs w:val="18"/>
              </w:rPr>
            </w:pPr>
          </w:p>
        </w:tc>
        <w:tc>
          <w:tcPr>
            <w:tcW w:w="277" w:type="dxa"/>
          </w:tcPr>
          <w:p w14:paraId="4F9799AA" w14:textId="77777777" w:rsidR="003F10B3" w:rsidRPr="003239AE" w:rsidRDefault="003F10B3" w:rsidP="003F10B3">
            <w:pPr>
              <w:autoSpaceDE w:val="0"/>
              <w:autoSpaceDN w:val="0"/>
              <w:adjustRightInd w:val="0"/>
              <w:spacing w:before="0" w:after="0"/>
              <w:jc w:val="right"/>
              <w:rPr>
                <w:rFonts w:cstheme="minorHAnsi"/>
                <w:sz w:val="18"/>
                <w:szCs w:val="18"/>
              </w:rPr>
            </w:pPr>
          </w:p>
        </w:tc>
        <w:tc>
          <w:tcPr>
            <w:tcW w:w="984" w:type="dxa"/>
          </w:tcPr>
          <w:p w14:paraId="05EF01B4"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3D20FBEE" w14:textId="77777777" w:rsidR="003F10B3" w:rsidRPr="003239AE" w:rsidRDefault="003F10B3" w:rsidP="008532C2">
            <w:pPr>
              <w:autoSpaceDE w:val="0"/>
              <w:autoSpaceDN w:val="0"/>
              <w:adjustRightInd w:val="0"/>
              <w:spacing w:before="0" w:after="0"/>
              <w:jc w:val="right"/>
              <w:rPr>
                <w:rFonts w:cstheme="minorHAnsi"/>
                <w:sz w:val="18"/>
                <w:szCs w:val="18"/>
              </w:rPr>
            </w:pPr>
          </w:p>
        </w:tc>
        <w:tc>
          <w:tcPr>
            <w:tcW w:w="859" w:type="dxa"/>
            <w:gridSpan w:val="2"/>
          </w:tcPr>
          <w:p w14:paraId="356DB360" w14:textId="77777777" w:rsidR="003F10B3" w:rsidRPr="003239AE" w:rsidRDefault="003F10B3" w:rsidP="003F10B3">
            <w:pPr>
              <w:autoSpaceDE w:val="0"/>
              <w:autoSpaceDN w:val="0"/>
              <w:adjustRightInd w:val="0"/>
              <w:spacing w:before="0" w:after="0"/>
              <w:jc w:val="right"/>
              <w:rPr>
                <w:rFonts w:cstheme="minorHAnsi"/>
                <w:sz w:val="18"/>
                <w:szCs w:val="18"/>
              </w:rPr>
            </w:pPr>
          </w:p>
        </w:tc>
        <w:tc>
          <w:tcPr>
            <w:tcW w:w="1551" w:type="dxa"/>
            <w:gridSpan w:val="2"/>
            <w:vAlign w:val="bottom"/>
          </w:tcPr>
          <w:p w14:paraId="4C874284" w14:textId="77777777" w:rsidR="003F10B3" w:rsidRPr="003239AE" w:rsidRDefault="003F10B3" w:rsidP="003F10B3">
            <w:pPr>
              <w:autoSpaceDE w:val="0"/>
              <w:autoSpaceDN w:val="0"/>
              <w:adjustRightInd w:val="0"/>
              <w:spacing w:before="0" w:after="0"/>
              <w:jc w:val="right"/>
              <w:rPr>
                <w:rFonts w:cstheme="minorHAnsi"/>
                <w:sz w:val="18"/>
                <w:szCs w:val="18"/>
              </w:rPr>
            </w:pPr>
          </w:p>
        </w:tc>
      </w:tr>
      <w:tr w:rsidR="003F10B3" w:rsidRPr="007D673F" w14:paraId="0147F315" w14:textId="77777777" w:rsidTr="00CB13B7">
        <w:trPr>
          <w:trHeight w:val="250"/>
        </w:trPr>
        <w:tc>
          <w:tcPr>
            <w:tcW w:w="3969" w:type="dxa"/>
            <w:vAlign w:val="bottom"/>
          </w:tcPr>
          <w:p w14:paraId="7D29344E"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r w:rsidRPr="003239AE">
              <w:rPr>
                <w:rFonts w:cstheme="minorHAnsi"/>
                <w:b/>
                <w:color w:val="000000" w:themeColor="text1"/>
                <w:sz w:val="18"/>
                <w:szCs w:val="18"/>
              </w:rPr>
              <w:t xml:space="preserve">Net </w:t>
            </w:r>
            <w:r>
              <w:rPr>
                <w:rFonts w:cstheme="minorHAnsi"/>
                <w:b/>
                <w:color w:val="000000" w:themeColor="text1"/>
                <w:sz w:val="18"/>
                <w:szCs w:val="18"/>
              </w:rPr>
              <w:t>(decrease)/increase</w:t>
            </w:r>
            <w:r w:rsidRPr="003239AE">
              <w:rPr>
                <w:rFonts w:cstheme="minorHAnsi"/>
                <w:b/>
                <w:color w:val="000000" w:themeColor="text1"/>
                <w:sz w:val="18"/>
                <w:szCs w:val="18"/>
              </w:rPr>
              <w:t xml:space="preserve"> in cash and cash equivalents</w:t>
            </w:r>
          </w:p>
        </w:tc>
        <w:tc>
          <w:tcPr>
            <w:tcW w:w="475" w:type="dxa"/>
          </w:tcPr>
          <w:p w14:paraId="30C88302" w14:textId="77777777" w:rsidR="003F10B3" w:rsidRPr="003239AE" w:rsidRDefault="003F10B3" w:rsidP="003F10B3">
            <w:pPr>
              <w:autoSpaceDE w:val="0"/>
              <w:autoSpaceDN w:val="0"/>
              <w:adjustRightInd w:val="0"/>
              <w:spacing w:before="0" w:after="0"/>
              <w:jc w:val="right"/>
              <w:rPr>
                <w:rFonts w:cstheme="minorHAnsi"/>
                <w:b/>
                <w:sz w:val="18"/>
                <w:szCs w:val="18"/>
              </w:rPr>
            </w:pPr>
          </w:p>
        </w:tc>
        <w:tc>
          <w:tcPr>
            <w:tcW w:w="236" w:type="dxa"/>
            <w:vAlign w:val="bottom"/>
          </w:tcPr>
          <w:p w14:paraId="1756A225" w14:textId="77777777" w:rsidR="003F10B3" w:rsidRPr="003239AE" w:rsidRDefault="003F10B3" w:rsidP="003F10B3">
            <w:pPr>
              <w:autoSpaceDE w:val="0"/>
              <w:autoSpaceDN w:val="0"/>
              <w:adjustRightInd w:val="0"/>
              <w:spacing w:before="0" w:after="0"/>
              <w:jc w:val="right"/>
              <w:rPr>
                <w:rFonts w:cstheme="minorHAnsi"/>
                <w:b/>
                <w:sz w:val="18"/>
                <w:szCs w:val="18"/>
              </w:rPr>
            </w:pPr>
          </w:p>
        </w:tc>
        <w:tc>
          <w:tcPr>
            <w:tcW w:w="277" w:type="dxa"/>
          </w:tcPr>
          <w:p w14:paraId="719724AE" w14:textId="77777777" w:rsidR="003F10B3" w:rsidRPr="003239AE" w:rsidRDefault="003F10B3" w:rsidP="003F10B3">
            <w:pPr>
              <w:autoSpaceDE w:val="0"/>
              <w:autoSpaceDN w:val="0"/>
              <w:adjustRightInd w:val="0"/>
              <w:spacing w:before="0" w:after="0"/>
              <w:jc w:val="right"/>
              <w:rPr>
                <w:rFonts w:cstheme="minorHAnsi"/>
                <w:b/>
                <w:sz w:val="18"/>
                <w:szCs w:val="18"/>
              </w:rPr>
            </w:pPr>
          </w:p>
        </w:tc>
        <w:tc>
          <w:tcPr>
            <w:tcW w:w="984" w:type="dxa"/>
          </w:tcPr>
          <w:p w14:paraId="4E670CBD" w14:textId="77777777" w:rsidR="003F10B3" w:rsidRPr="003239AE" w:rsidRDefault="003F10B3" w:rsidP="003F10B3">
            <w:pPr>
              <w:autoSpaceDE w:val="0"/>
              <w:autoSpaceDN w:val="0"/>
              <w:adjustRightInd w:val="0"/>
              <w:spacing w:before="0" w:after="0"/>
              <w:jc w:val="right"/>
              <w:rPr>
                <w:rFonts w:cstheme="minorHAnsi"/>
                <w:b/>
                <w:color w:val="000000" w:themeColor="text1"/>
                <w:sz w:val="18"/>
                <w:szCs w:val="18"/>
              </w:rPr>
            </w:pPr>
          </w:p>
        </w:tc>
        <w:tc>
          <w:tcPr>
            <w:tcW w:w="1559" w:type="dxa"/>
            <w:gridSpan w:val="2"/>
            <w:tcBorders>
              <w:bottom w:val="single" w:sz="4" w:space="0" w:color="auto"/>
            </w:tcBorders>
            <w:vAlign w:val="bottom"/>
          </w:tcPr>
          <w:p w14:paraId="62608D4B" w14:textId="3A11BB94" w:rsidR="003F10B3" w:rsidRPr="003239AE" w:rsidRDefault="008532C2" w:rsidP="008532C2">
            <w:pPr>
              <w:autoSpaceDE w:val="0"/>
              <w:autoSpaceDN w:val="0"/>
              <w:adjustRightInd w:val="0"/>
              <w:spacing w:before="0" w:after="0"/>
              <w:jc w:val="right"/>
              <w:rPr>
                <w:rFonts w:cstheme="minorHAnsi"/>
                <w:b/>
                <w:sz w:val="18"/>
                <w:szCs w:val="18"/>
              </w:rPr>
            </w:pPr>
            <w:r>
              <w:rPr>
                <w:rFonts w:cstheme="minorHAnsi"/>
                <w:b/>
                <w:sz w:val="18"/>
                <w:szCs w:val="18"/>
              </w:rPr>
              <w:t>(152,14</w:t>
            </w:r>
            <w:r w:rsidR="000A3D8B">
              <w:rPr>
                <w:rFonts w:cstheme="minorHAnsi"/>
                <w:b/>
                <w:sz w:val="18"/>
                <w:szCs w:val="18"/>
              </w:rPr>
              <w:t>4</w:t>
            </w:r>
            <w:r>
              <w:rPr>
                <w:rFonts w:cstheme="minorHAnsi"/>
                <w:b/>
                <w:sz w:val="18"/>
                <w:szCs w:val="18"/>
              </w:rPr>
              <w:t>)</w:t>
            </w:r>
          </w:p>
        </w:tc>
        <w:tc>
          <w:tcPr>
            <w:tcW w:w="859" w:type="dxa"/>
            <w:gridSpan w:val="2"/>
            <w:tcBorders>
              <w:bottom w:val="single" w:sz="4" w:space="0" w:color="auto"/>
            </w:tcBorders>
          </w:tcPr>
          <w:p w14:paraId="2D195FE5" w14:textId="77777777" w:rsidR="003F10B3" w:rsidRPr="003239AE" w:rsidRDefault="003F10B3" w:rsidP="003F10B3">
            <w:pPr>
              <w:autoSpaceDE w:val="0"/>
              <w:autoSpaceDN w:val="0"/>
              <w:adjustRightInd w:val="0"/>
              <w:spacing w:before="0" w:after="0"/>
              <w:jc w:val="right"/>
              <w:rPr>
                <w:rFonts w:cstheme="minorHAnsi"/>
                <w:b/>
                <w:sz w:val="18"/>
                <w:szCs w:val="18"/>
              </w:rPr>
            </w:pPr>
          </w:p>
        </w:tc>
        <w:tc>
          <w:tcPr>
            <w:tcW w:w="1551" w:type="dxa"/>
            <w:gridSpan w:val="2"/>
            <w:tcBorders>
              <w:bottom w:val="single" w:sz="4" w:space="0" w:color="auto"/>
            </w:tcBorders>
            <w:vAlign w:val="bottom"/>
          </w:tcPr>
          <w:p w14:paraId="4180B260" w14:textId="77777777" w:rsidR="003F10B3" w:rsidRPr="003239AE" w:rsidRDefault="003F10B3" w:rsidP="003F10B3">
            <w:pPr>
              <w:autoSpaceDE w:val="0"/>
              <w:autoSpaceDN w:val="0"/>
              <w:adjustRightInd w:val="0"/>
              <w:spacing w:before="0" w:after="0"/>
              <w:jc w:val="right"/>
              <w:rPr>
                <w:rFonts w:cstheme="minorHAnsi"/>
                <w:b/>
                <w:sz w:val="18"/>
                <w:szCs w:val="18"/>
              </w:rPr>
            </w:pPr>
            <w:r>
              <w:rPr>
                <w:rFonts w:cstheme="minorHAnsi"/>
                <w:b/>
                <w:sz w:val="18"/>
                <w:szCs w:val="18"/>
              </w:rPr>
              <w:t xml:space="preserve">                 (163,298)</w:t>
            </w:r>
          </w:p>
        </w:tc>
      </w:tr>
      <w:tr w:rsidR="003F10B3" w:rsidRPr="007D673F" w14:paraId="5D65461B" w14:textId="77777777" w:rsidTr="00CB13B7">
        <w:trPr>
          <w:trHeight w:val="250"/>
        </w:trPr>
        <w:tc>
          <w:tcPr>
            <w:tcW w:w="3969" w:type="dxa"/>
            <w:vAlign w:val="bottom"/>
          </w:tcPr>
          <w:p w14:paraId="404516D0"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p>
        </w:tc>
        <w:tc>
          <w:tcPr>
            <w:tcW w:w="475" w:type="dxa"/>
          </w:tcPr>
          <w:p w14:paraId="35890D85" w14:textId="77777777" w:rsidR="003F10B3" w:rsidRPr="003239AE" w:rsidRDefault="003F10B3" w:rsidP="003F10B3">
            <w:pPr>
              <w:autoSpaceDE w:val="0"/>
              <w:autoSpaceDN w:val="0"/>
              <w:adjustRightInd w:val="0"/>
              <w:spacing w:before="0" w:after="0"/>
              <w:jc w:val="right"/>
              <w:rPr>
                <w:rFonts w:cstheme="minorHAnsi"/>
                <w:b/>
                <w:bCs/>
                <w:color w:val="000000" w:themeColor="text1"/>
                <w:sz w:val="18"/>
                <w:szCs w:val="18"/>
              </w:rPr>
            </w:pPr>
          </w:p>
        </w:tc>
        <w:tc>
          <w:tcPr>
            <w:tcW w:w="236" w:type="dxa"/>
            <w:vAlign w:val="bottom"/>
          </w:tcPr>
          <w:p w14:paraId="65D87218" w14:textId="77777777" w:rsidR="003F10B3" w:rsidRPr="003239AE" w:rsidRDefault="003F10B3" w:rsidP="003F10B3">
            <w:pPr>
              <w:autoSpaceDE w:val="0"/>
              <w:autoSpaceDN w:val="0"/>
              <w:adjustRightInd w:val="0"/>
              <w:spacing w:before="0" w:after="0"/>
              <w:jc w:val="right"/>
              <w:rPr>
                <w:rFonts w:cstheme="minorHAnsi"/>
                <w:b/>
                <w:bCs/>
                <w:color w:val="000000" w:themeColor="text1"/>
                <w:sz w:val="18"/>
                <w:szCs w:val="18"/>
              </w:rPr>
            </w:pPr>
          </w:p>
        </w:tc>
        <w:tc>
          <w:tcPr>
            <w:tcW w:w="277" w:type="dxa"/>
          </w:tcPr>
          <w:p w14:paraId="3B9DE733" w14:textId="77777777" w:rsidR="003F10B3" w:rsidRPr="003239AE" w:rsidRDefault="003F10B3" w:rsidP="003F10B3">
            <w:pPr>
              <w:autoSpaceDE w:val="0"/>
              <w:autoSpaceDN w:val="0"/>
              <w:adjustRightInd w:val="0"/>
              <w:spacing w:before="0" w:after="0"/>
              <w:jc w:val="right"/>
              <w:rPr>
                <w:rFonts w:cstheme="minorHAnsi"/>
                <w:b/>
                <w:bCs/>
                <w:color w:val="000000" w:themeColor="text1"/>
                <w:sz w:val="18"/>
                <w:szCs w:val="18"/>
              </w:rPr>
            </w:pPr>
          </w:p>
        </w:tc>
        <w:tc>
          <w:tcPr>
            <w:tcW w:w="984" w:type="dxa"/>
          </w:tcPr>
          <w:p w14:paraId="33BB5942"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tcBorders>
              <w:top w:val="single" w:sz="4" w:space="0" w:color="auto"/>
            </w:tcBorders>
            <w:vAlign w:val="bottom"/>
          </w:tcPr>
          <w:p w14:paraId="355C08A0" w14:textId="77777777" w:rsidR="003F10B3" w:rsidRPr="003239AE" w:rsidRDefault="003F10B3" w:rsidP="008532C2">
            <w:pPr>
              <w:autoSpaceDE w:val="0"/>
              <w:autoSpaceDN w:val="0"/>
              <w:adjustRightInd w:val="0"/>
              <w:spacing w:before="0" w:after="0"/>
              <w:jc w:val="right"/>
              <w:rPr>
                <w:rFonts w:cstheme="minorHAnsi"/>
                <w:b/>
                <w:bCs/>
                <w:color w:val="000000" w:themeColor="text1"/>
                <w:sz w:val="18"/>
                <w:szCs w:val="18"/>
              </w:rPr>
            </w:pPr>
          </w:p>
        </w:tc>
        <w:tc>
          <w:tcPr>
            <w:tcW w:w="859" w:type="dxa"/>
            <w:gridSpan w:val="2"/>
            <w:tcBorders>
              <w:top w:val="single" w:sz="4" w:space="0" w:color="auto"/>
            </w:tcBorders>
          </w:tcPr>
          <w:p w14:paraId="26C3BF30" w14:textId="77777777" w:rsidR="003F10B3" w:rsidRPr="003239AE" w:rsidRDefault="003F10B3" w:rsidP="003F10B3">
            <w:pPr>
              <w:autoSpaceDE w:val="0"/>
              <w:autoSpaceDN w:val="0"/>
              <w:adjustRightInd w:val="0"/>
              <w:spacing w:before="0" w:after="0"/>
              <w:jc w:val="right"/>
              <w:rPr>
                <w:rFonts w:cstheme="minorHAnsi"/>
                <w:b/>
                <w:bCs/>
                <w:color w:val="000000" w:themeColor="text1"/>
                <w:sz w:val="18"/>
                <w:szCs w:val="18"/>
              </w:rPr>
            </w:pPr>
          </w:p>
        </w:tc>
        <w:tc>
          <w:tcPr>
            <w:tcW w:w="1551" w:type="dxa"/>
            <w:gridSpan w:val="2"/>
            <w:tcBorders>
              <w:top w:val="single" w:sz="4" w:space="0" w:color="auto"/>
            </w:tcBorders>
            <w:vAlign w:val="bottom"/>
          </w:tcPr>
          <w:p w14:paraId="3E8A5ED7" w14:textId="77777777" w:rsidR="003F10B3" w:rsidRPr="003239AE" w:rsidRDefault="003F10B3" w:rsidP="003F10B3">
            <w:pPr>
              <w:autoSpaceDE w:val="0"/>
              <w:autoSpaceDN w:val="0"/>
              <w:adjustRightInd w:val="0"/>
              <w:spacing w:before="0" w:after="0"/>
              <w:jc w:val="right"/>
              <w:rPr>
                <w:rFonts w:cstheme="minorHAnsi"/>
                <w:b/>
                <w:bCs/>
                <w:color w:val="000000" w:themeColor="text1"/>
                <w:sz w:val="18"/>
                <w:szCs w:val="18"/>
              </w:rPr>
            </w:pPr>
          </w:p>
        </w:tc>
      </w:tr>
      <w:tr w:rsidR="003F10B3" w:rsidRPr="007D673F" w14:paraId="19EE4BB2" w14:textId="77777777" w:rsidTr="00CB13B7">
        <w:trPr>
          <w:trHeight w:val="250"/>
        </w:trPr>
        <w:tc>
          <w:tcPr>
            <w:tcW w:w="3969" w:type="dxa"/>
            <w:vAlign w:val="bottom"/>
          </w:tcPr>
          <w:p w14:paraId="113F5826"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r w:rsidRPr="003239AE">
              <w:rPr>
                <w:rFonts w:cstheme="minorHAnsi"/>
                <w:b/>
                <w:color w:val="000000" w:themeColor="text1"/>
                <w:sz w:val="18"/>
                <w:szCs w:val="18"/>
              </w:rPr>
              <w:t xml:space="preserve">Cash and cash equivalents at beginning of the year </w:t>
            </w:r>
          </w:p>
        </w:tc>
        <w:tc>
          <w:tcPr>
            <w:tcW w:w="475" w:type="dxa"/>
          </w:tcPr>
          <w:p w14:paraId="46255138"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20A999A7"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277" w:type="dxa"/>
          </w:tcPr>
          <w:p w14:paraId="25785A03"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984" w:type="dxa"/>
          </w:tcPr>
          <w:p w14:paraId="1521DD5D"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4F35FC12" w14:textId="77777777" w:rsidR="003F10B3" w:rsidRPr="003239AE" w:rsidRDefault="008532C2" w:rsidP="008532C2">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200,354</w:t>
            </w:r>
          </w:p>
        </w:tc>
        <w:tc>
          <w:tcPr>
            <w:tcW w:w="859" w:type="dxa"/>
            <w:gridSpan w:val="2"/>
          </w:tcPr>
          <w:p w14:paraId="65141CB9"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4F9ECB69" w14:textId="77777777" w:rsidR="003F10B3" w:rsidRPr="003239AE" w:rsidRDefault="003F10B3" w:rsidP="003F10B3">
            <w:pPr>
              <w:autoSpaceDE w:val="0"/>
              <w:autoSpaceDN w:val="0"/>
              <w:adjustRightInd w:val="0"/>
              <w:spacing w:before="0" w:after="0"/>
              <w:jc w:val="center"/>
              <w:rPr>
                <w:rFonts w:cstheme="minorHAnsi"/>
                <w:color w:val="000000" w:themeColor="text1"/>
                <w:sz w:val="18"/>
                <w:szCs w:val="18"/>
              </w:rPr>
            </w:pPr>
            <w:r>
              <w:rPr>
                <w:rFonts w:cstheme="minorHAnsi"/>
                <w:color w:val="000000" w:themeColor="text1"/>
                <w:sz w:val="18"/>
                <w:szCs w:val="18"/>
              </w:rPr>
              <w:t xml:space="preserve">                 363,652</w:t>
            </w:r>
          </w:p>
        </w:tc>
      </w:tr>
      <w:tr w:rsidR="003F10B3" w:rsidRPr="007D673F" w14:paraId="7B5068C5" w14:textId="77777777" w:rsidTr="00CB13B7">
        <w:trPr>
          <w:trHeight w:val="250"/>
        </w:trPr>
        <w:tc>
          <w:tcPr>
            <w:tcW w:w="3969" w:type="dxa"/>
            <w:vAlign w:val="bottom"/>
          </w:tcPr>
          <w:p w14:paraId="65DAA941"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p>
        </w:tc>
        <w:tc>
          <w:tcPr>
            <w:tcW w:w="475" w:type="dxa"/>
          </w:tcPr>
          <w:p w14:paraId="109C084B" w14:textId="77777777" w:rsidR="003F10B3" w:rsidRPr="003239AE" w:rsidRDefault="003F10B3" w:rsidP="004856E9">
            <w:pPr>
              <w:autoSpaceDE w:val="0"/>
              <w:autoSpaceDN w:val="0"/>
              <w:adjustRightInd w:val="0"/>
              <w:spacing w:before="0" w:after="0"/>
              <w:rPr>
                <w:rFonts w:cstheme="minorHAnsi"/>
                <w:color w:val="000000" w:themeColor="text1"/>
                <w:sz w:val="18"/>
                <w:szCs w:val="18"/>
              </w:rPr>
            </w:pPr>
          </w:p>
        </w:tc>
        <w:tc>
          <w:tcPr>
            <w:tcW w:w="236" w:type="dxa"/>
            <w:vAlign w:val="bottom"/>
          </w:tcPr>
          <w:p w14:paraId="4CF6EB61" w14:textId="77777777" w:rsidR="003F10B3" w:rsidRPr="003239AE" w:rsidRDefault="003F10B3" w:rsidP="004856E9">
            <w:pPr>
              <w:autoSpaceDE w:val="0"/>
              <w:autoSpaceDN w:val="0"/>
              <w:adjustRightInd w:val="0"/>
              <w:spacing w:before="0" w:after="0"/>
              <w:rPr>
                <w:rFonts w:cstheme="minorHAnsi"/>
                <w:color w:val="000000" w:themeColor="text1"/>
                <w:sz w:val="18"/>
                <w:szCs w:val="18"/>
              </w:rPr>
            </w:pPr>
          </w:p>
        </w:tc>
        <w:tc>
          <w:tcPr>
            <w:tcW w:w="277" w:type="dxa"/>
          </w:tcPr>
          <w:p w14:paraId="37B0C2AD"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984" w:type="dxa"/>
          </w:tcPr>
          <w:p w14:paraId="132949E8"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9" w:type="dxa"/>
            <w:gridSpan w:val="2"/>
            <w:tcBorders>
              <w:bottom w:val="single" w:sz="4" w:space="0" w:color="auto"/>
            </w:tcBorders>
            <w:vAlign w:val="bottom"/>
          </w:tcPr>
          <w:p w14:paraId="320501B4" w14:textId="77777777" w:rsidR="003F10B3" w:rsidRPr="003239AE" w:rsidRDefault="003F10B3" w:rsidP="008532C2">
            <w:pPr>
              <w:autoSpaceDE w:val="0"/>
              <w:autoSpaceDN w:val="0"/>
              <w:adjustRightInd w:val="0"/>
              <w:spacing w:before="0" w:after="0"/>
              <w:jc w:val="right"/>
              <w:rPr>
                <w:rFonts w:cstheme="minorHAnsi"/>
                <w:color w:val="000000" w:themeColor="text1"/>
                <w:sz w:val="18"/>
                <w:szCs w:val="18"/>
              </w:rPr>
            </w:pPr>
          </w:p>
        </w:tc>
        <w:tc>
          <w:tcPr>
            <w:tcW w:w="859" w:type="dxa"/>
            <w:gridSpan w:val="2"/>
            <w:tcBorders>
              <w:bottom w:val="single" w:sz="4" w:space="0" w:color="auto"/>
            </w:tcBorders>
          </w:tcPr>
          <w:p w14:paraId="051F279E"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c>
          <w:tcPr>
            <w:tcW w:w="1551" w:type="dxa"/>
            <w:gridSpan w:val="2"/>
            <w:tcBorders>
              <w:bottom w:val="single" w:sz="4" w:space="0" w:color="auto"/>
            </w:tcBorders>
            <w:vAlign w:val="bottom"/>
          </w:tcPr>
          <w:p w14:paraId="173F87FB" w14:textId="77777777" w:rsidR="003F10B3" w:rsidRPr="003239AE" w:rsidRDefault="003F10B3" w:rsidP="003F10B3">
            <w:pPr>
              <w:autoSpaceDE w:val="0"/>
              <w:autoSpaceDN w:val="0"/>
              <w:adjustRightInd w:val="0"/>
              <w:spacing w:before="0" w:after="0"/>
              <w:jc w:val="right"/>
              <w:rPr>
                <w:rFonts w:cstheme="minorHAnsi"/>
                <w:color w:val="000000" w:themeColor="text1"/>
                <w:sz w:val="18"/>
                <w:szCs w:val="18"/>
              </w:rPr>
            </w:pPr>
          </w:p>
        </w:tc>
      </w:tr>
      <w:tr w:rsidR="003F10B3" w:rsidRPr="007D673F" w14:paraId="391AE251" w14:textId="77777777" w:rsidTr="00CB13B7">
        <w:trPr>
          <w:trHeight w:val="250"/>
        </w:trPr>
        <w:tc>
          <w:tcPr>
            <w:tcW w:w="3969" w:type="dxa"/>
            <w:vAlign w:val="bottom"/>
          </w:tcPr>
          <w:p w14:paraId="56D03D6F" w14:textId="77777777" w:rsidR="003F10B3" w:rsidRPr="003239AE" w:rsidRDefault="003F10B3" w:rsidP="003F10B3">
            <w:pPr>
              <w:autoSpaceDE w:val="0"/>
              <w:autoSpaceDN w:val="0"/>
              <w:adjustRightInd w:val="0"/>
              <w:spacing w:before="0" w:after="0"/>
              <w:rPr>
                <w:rFonts w:cstheme="minorHAnsi"/>
                <w:color w:val="000000" w:themeColor="text1"/>
                <w:sz w:val="18"/>
                <w:szCs w:val="18"/>
              </w:rPr>
            </w:pPr>
            <w:r w:rsidRPr="003239AE">
              <w:rPr>
                <w:rFonts w:cstheme="minorHAnsi"/>
                <w:b/>
                <w:color w:val="000000" w:themeColor="text1"/>
                <w:sz w:val="18"/>
                <w:szCs w:val="18"/>
              </w:rPr>
              <w:t xml:space="preserve">Cash and cash equivalents at end of the year </w:t>
            </w:r>
          </w:p>
        </w:tc>
        <w:tc>
          <w:tcPr>
            <w:tcW w:w="475" w:type="dxa"/>
          </w:tcPr>
          <w:p w14:paraId="0DD1AC82" w14:textId="77777777" w:rsidR="003F10B3" w:rsidRPr="003239AE" w:rsidRDefault="003F10B3" w:rsidP="003F10B3">
            <w:pPr>
              <w:autoSpaceDE w:val="0"/>
              <w:autoSpaceDN w:val="0"/>
              <w:adjustRightInd w:val="0"/>
              <w:spacing w:before="0" w:after="0"/>
              <w:jc w:val="right"/>
              <w:rPr>
                <w:rFonts w:cstheme="minorHAnsi"/>
                <w:b/>
                <w:color w:val="000000" w:themeColor="text1"/>
                <w:sz w:val="18"/>
                <w:szCs w:val="18"/>
              </w:rPr>
            </w:pPr>
          </w:p>
        </w:tc>
        <w:tc>
          <w:tcPr>
            <w:tcW w:w="236" w:type="dxa"/>
            <w:vAlign w:val="bottom"/>
          </w:tcPr>
          <w:p w14:paraId="3FD3C142" w14:textId="77777777" w:rsidR="003F10B3" w:rsidRPr="003239AE" w:rsidRDefault="003F10B3" w:rsidP="003F10B3">
            <w:pPr>
              <w:autoSpaceDE w:val="0"/>
              <w:autoSpaceDN w:val="0"/>
              <w:adjustRightInd w:val="0"/>
              <w:spacing w:before="0" w:after="0"/>
              <w:jc w:val="right"/>
              <w:rPr>
                <w:rFonts w:cstheme="minorHAnsi"/>
                <w:b/>
                <w:color w:val="000000" w:themeColor="text1"/>
                <w:sz w:val="18"/>
                <w:szCs w:val="18"/>
              </w:rPr>
            </w:pPr>
          </w:p>
        </w:tc>
        <w:tc>
          <w:tcPr>
            <w:tcW w:w="277" w:type="dxa"/>
          </w:tcPr>
          <w:p w14:paraId="39A9C623" w14:textId="77777777" w:rsidR="003F10B3" w:rsidRPr="003239AE" w:rsidRDefault="003F10B3" w:rsidP="003F10B3">
            <w:pPr>
              <w:autoSpaceDE w:val="0"/>
              <w:autoSpaceDN w:val="0"/>
              <w:adjustRightInd w:val="0"/>
              <w:spacing w:before="0" w:after="0"/>
              <w:jc w:val="right"/>
              <w:rPr>
                <w:rFonts w:cstheme="minorHAnsi"/>
                <w:b/>
                <w:color w:val="000000" w:themeColor="text1"/>
                <w:sz w:val="18"/>
                <w:szCs w:val="18"/>
              </w:rPr>
            </w:pPr>
          </w:p>
        </w:tc>
        <w:tc>
          <w:tcPr>
            <w:tcW w:w="984" w:type="dxa"/>
          </w:tcPr>
          <w:p w14:paraId="4122F94B" w14:textId="77777777" w:rsidR="003F10B3" w:rsidRPr="003239AE" w:rsidRDefault="003F10B3" w:rsidP="003F10B3">
            <w:pPr>
              <w:autoSpaceDE w:val="0"/>
              <w:autoSpaceDN w:val="0"/>
              <w:adjustRightInd w:val="0"/>
              <w:spacing w:before="0" w:after="0"/>
              <w:jc w:val="right"/>
              <w:rPr>
                <w:rFonts w:cstheme="minorHAnsi"/>
                <w:b/>
                <w:color w:val="000000" w:themeColor="text1"/>
                <w:sz w:val="18"/>
                <w:szCs w:val="18"/>
              </w:rPr>
            </w:pPr>
          </w:p>
        </w:tc>
        <w:tc>
          <w:tcPr>
            <w:tcW w:w="1559" w:type="dxa"/>
            <w:gridSpan w:val="2"/>
            <w:tcBorders>
              <w:top w:val="single" w:sz="4" w:space="0" w:color="auto"/>
              <w:bottom w:val="single" w:sz="4" w:space="0" w:color="auto"/>
            </w:tcBorders>
            <w:vAlign w:val="bottom"/>
          </w:tcPr>
          <w:p w14:paraId="75C27E25" w14:textId="77777777" w:rsidR="003F10B3" w:rsidRPr="003239AE" w:rsidRDefault="008532C2" w:rsidP="004856E9">
            <w:pPr>
              <w:autoSpaceDE w:val="0"/>
              <w:autoSpaceDN w:val="0"/>
              <w:adjustRightInd w:val="0"/>
              <w:spacing w:before="0" w:after="0"/>
              <w:jc w:val="right"/>
              <w:rPr>
                <w:rFonts w:cstheme="minorHAnsi"/>
                <w:b/>
                <w:color w:val="000000" w:themeColor="text1"/>
                <w:sz w:val="18"/>
                <w:szCs w:val="18"/>
              </w:rPr>
            </w:pPr>
            <w:r>
              <w:rPr>
                <w:rFonts w:cstheme="minorHAnsi"/>
                <w:b/>
                <w:color w:val="000000" w:themeColor="text1"/>
                <w:sz w:val="18"/>
                <w:szCs w:val="18"/>
              </w:rPr>
              <w:t>48,210</w:t>
            </w:r>
          </w:p>
        </w:tc>
        <w:tc>
          <w:tcPr>
            <w:tcW w:w="859" w:type="dxa"/>
            <w:gridSpan w:val="2"/>
            <w:tcBorders>
              <w:top w:val="single" w:sz="4" w:space="0" w:color="auto"/>
              <w:bottom w:val="single" w:sz="4" w:space="0" w:color="auto"/>
            </w:tcBorders>
          </w:tcPr>
          <w:p w14:paraId="416E51B8" w14:textId="77777777" w:rsidR="003F10B3" w:rsidRPr="003239AE" w:rsidRDefault="003F10B3" w:rsidP="003F10B3">
            <w:pPr>
              <w:autoSpaceDE w:val="0"/>
              <w:autoSpaceDN w:val="0"/>
              <w:adjustRightInd w:val="0"/>
              <w:spacing w:before="0" w:after="0"/>
              <w:jc w:val="right"/>
              <w:rPr>
                <w:rFonts w:cstheme="minorHAnsi"/>
                <w:b/>
                <w:color w:val="000000" w:themeColor="text1"/>
                <w:sz w:val="18"/>
                <w:szCs w:val="18"/>
              </w:rPr>
            </w:pPr>
          </w:p>
        </w:tc>
        <w:tc>
          <w:tcPr>
            <w:tcW w:w="1551" w:type="dxa"/>
            <w:gridSpan w:val="2"/>
            <w:tcBorders>
              <w:top w:val="single" w:sz="4" w:space="0" w:color="auto"/>
              <w:bottom w:val="single" w:sz="4" w:space="0" w:color="auto"/>
            </w:tcBorders>
            <w:vAlign w:val="bottom"/>
          </w:tcPr>
          <w:p w14:paraId="4041D87C" w14:textId="77777777" w:rsidR="003F10B3" w:rsidRPr="003239AE" w:rsidRDefault="003F10B3" w:rsidP="003F10B3">
            <w:pPr>
              <w:autoSpaceDE w:val="0"/>
              <w:autoSpaceDN w:val="0"/>
              <w:adjustRightInd w:val="0"/>
              <w:spacing w:before="0" w:after="0"/>
              <w:jc w:val="center"/>
              <w:rPr>
                <w:rFonts w:cstheme="minorHAnsi"/>
                <w:b/>
                <w:color w:val="000000" w:themeColor="text1"/>
                <w:sz w:val="18"/>
                <w:szCs w:val="18"/>
              </w:rPr>
            </w:pPr>
            <w:r>
              <w:rPr>
                <w:rFonts w:cstheme="minorHAnsi"/>
                <w:b/>
                <w:color w:val="000000" w:themeColor="text1"/>
                <w:sz w:val="18"/>
                <w:szCs w:val="18"/>
              </w:rPr>
              <w:t xml:space="preserve">                 200,354</w:t>
            </w:r>
          </w:p>
        </w:tc>
      </w:tr>
    </w:tbl>
    <w:p w14:paraId="7EC9193E" w14:textId="77777777" w:rsidR="00761544" w:rsidRDefault="00761544" w:rsidP="00761544">
      <w:pPr>
        <w:spacing w:after="0"/>
        <w:rPr>
          <w:rFonts w:cs="Arial"/>
          <w:b/>
          <w:sz w:val="18"/>
          <w:szCs w:val="18"/>
          <w:lang w:eastAsia="en-GB"/>
        </w:rPr>
      </w:pPr>
    </w:p>
    <w:p w14:paraId="7CD5A28E" w14:textId="2544A2E4" w:rsidR="00761544" w:rsidRPr="00720743" w:rsidRDefault="00761544" w:rsidP="00761544">
      <w:pPr>
        <w:spacing w:after="0"/>
        <w:rPr>
          <w:rFonts w:cstheme="minorHAnsi"/>
          <w:sz w:val="18"/>
          <w:szCs w:val="18"/>
        </w:rPr>
      </w:pPr>
      <w:r w:rsidRPr="00720743">
        <w:rPr>
          <w:rFonts w:cstheme="minorHAnsi"/>
          <w:sz w:val="18"/>
          <w:szCs w:val="18"/>
        </w:rPr>
        <w:t xml:space="preserve">The notes </w:t>
      </w:r>
      <w:r w:rsidRPr="00720743">
        <w:rPr>
          <w:rFonts w:eastAsia="MS Mincho" w:cstheme="minorHAnsi"/>
          <w:bCs/>
          <w:color w:val="000000" w:themeColor="text1"/>
          <w:sz w:val="18"/>
          <w:szCs w:val="18"/>
          <w:lang w:val="en-US" w:eastAsia="zh-TW"/>
        </w:rPr>
        <w:t>to the financial statements form an integral part of these financial statements.</w:t>
      </w:r>
    </w:p>
    <w:p w14:paraId="57690C06" w14:textId="2ACA2935" w:rsidR="002E63E1" w:rsidRDefault="002E63E1" w:rsidP="00230970">
      <w:pPr>
        <w:rPr>
          <w:rFonts w:cs="Arial"/>
          <w:b/>
          <w:sz w:val="18"/>
          <w:szCs w:val="18"/>
          <w:lang w:eastAsia="en-GB"/>
        </w:rPr>
        <w:sectPr w:rsidR="002E63E1" w:rsidSect="00890FE3">
          <w:headerReference w:type="first" r:id="rId27"/>
          <w:endnotePr>
            <w:numFmt w:val="decimal"/>
          </w:endnotePr>
          <w:pgSz w:w="11909" w:h="16834"/>
          <w:pgMar w:top="1009" w:right="1009" w:bottom="1701" w:left="1440" w:header="720" w:footer="1140" w:gutter="0"/>
          <w:paperSrc w:first="7" w:other="7"/>
          <w:cols w:space="720"/>
          <w:titlePg/>
          <w:docGrid w:linePitch="286"/>
        </w:sectPr>
      </w:pPr>
    </w:p>
    <w:p w14:paraId="73FF30C5" w14:textId="77777777" w:rsidR="00A01A5F" w:rsidRDefault="00A01A5F" w:rsidP="00A01A5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lastRenderedPageBreak/>
        <w:t>NOTES TO THE FINANCIAL STATEMENTS</w:t>
      </w:r>
    </w:p>
    <w:p w14:paraId="1FFEF9AB" w14:textId="77777777" w:rsidR="00A01A5F" w:rsidRPr="009E46DF" w:rsidRDefault="00A01A5F" w:rsidP="00A01A5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21069D">
        <w:rPr>
          <w:rFonts w:asciiTheme="minorHAnsi" w:eastAsia="SimSun" w:hAnsiTheme="minorHAnsi" w:cstheme="minorHAnsi"/>
          <w:b/>
          <w:bCs/>
          <w:color w:val="auto"/>
          <w:kern w:val="2"/>
          <w:lang w:val="en-GB" w:eastAsia="zh-CN"/>
        </w:rPr>
        <w:t>3</w:t>
      </w:r>
    </w:p>
    <w:p w14:paraId="13BCD197" w14:textId="77777777" w:rsidR="00A01A5F" w:rsidRDefault="00A01A5F" w:rsidP="00A01A5F">
      <w:pPr>
        <w:widowControl/>
        <w:spacing w:before="0" w:after="0"/>
        <w:ind w:left="426"/>
        <w:contextualSpacing/>
        <w:jc w:val="left"/>
        <w:rPr>
          <w:rFonts w:cs="Arial"/>
          <w:b/>
          <w:sz w:val="18"/>
          <w:szCs w:val="18"/>
          <w:lang w:eastAsia="en-GB"/>
        </w:rPr>
      </w:pPr>
    </w:p>
    <w:p w14:paraId="4DC157BC" w14:textId="77777777" w:rsidR="00A01A5F" w:rsidRDefault="00A01A5F" w:rsidP="00A01A5F">
      <w:pPr>
        <w:widowControl/>
        <w:spacing w:before="0" w:after="0"/>
        <w:ind w:left="426"/>
        <w:contextualSpacing/>
        <w:jc w:val="left"/>
        <w:rPr>
          <w:rFonts w:cs="Arial"/>
          <w:b/>
          <w:sz w:val="18"/>
          <w:szCs w:val="18"/>
          <w:lang w:eastAsia="en-GB"/>
        </w:rPr>
      </w:pPr>
    </w:p>
    <w:p w14:paraId="0D4FA4E3" w14:textId="77777777" w:rsidR="00230970" w:rsidRPr="007E593B" w:rsidRDefault="003949D4" w:rsidP="00230970">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GENERAL INFORMATION</w:t>
      </w:r>
    </w:p>
    <w:p w14:paraId="437546EC" w14:textId="77777777" w:rsidR="00230970" w:rsidRDefault="00230970" w:rsidP="00230970">
      <w:pPr>
        <w:ind w:left="720"/>
        <w:contextualSpacing/>
        <w:rPr>
          <w:rFonts w:cs="Arial"/>
          <w:sz w:val="21"/>
          <w:szCs w:val="21"/>
          <w:lang w:eastAsia="en-GB"/>
        </w:rPr>
      </w:pPr>
    </w:p>
    <w:p w14:paraId="052E96E4" w14:textId="7971E695" w:rsidR="002E63E1" w:rsidRPr="002E63E1" w:rsidRDefault="00230970" w:rsidP="002E63E1">
      <w:pPr>
        <w:ind w:left="426"/>
        <w:contextualSpacing/>
        <w:rPr>
          <w:rFonts w:cs="Arial"/>
          <w:sz w:val="18"/>
          <w:szCs w:val="18"/>
          <w:lang w:eastAsia="en-GB"/>
        </w:rPr>
      </w:pPr>
      <w:r w:rsidRPr="007E593B">
        <w:rPr>
          <w:rFonts w:cs="Arial"/>
          <w:sz w:val="18"/>
          <w:szCs w:val="18"/>
          <w:lang w:eastAsia="en-GB"/>
        </w:rPr>
        <w:t xml:space="preserve">The Company was incorporated on 28 January 2013 in England and Wales as a limited company, limited by shares and with Registered Number 08377465 under the Companies Act 2006. The Company’s registered office address is: </w:t>
      </w:r>
      <w:r w:rsidR="0089010E">
        <w:rPr>
          <w:rFonts w:cs="Arial"/>
          <w:sz w:val="18"/>
          <w:szCs w:val="18"/>
          <w:lang w:eastAsia="en-GB"/>
        </w:rPr>
        <w:t>1</w:t>
      </w:r>
      <w:r w:rsidR="000F7A6C">
        <w:rPr>
          <w:rFonts w:cs="Arial"/>
          <w:sz w:val="18"/>
          <w:szCs w:val="18"/>
          <w:lang w:eastAsia="en-GB"/>
        </w:rPr>
        <w:t>67-169 Great Portland Street, Fifth Floor, London W1W 5PF</w:t>
      </w:r>
      <w:r w:rsidRPr="007E593B">
        <w:rPr>
          <w:rFonts w:cs="Arial"/>
          <w:sz w:val="18"/>
          <w:szCs w:val="18"/>
          <w:lang w:eastAsia="en-GB"/>
        </w:rPr>
        <w:t>.</w:t>
      </w:r>
      <w:r w:rsidR="002E63E1">
        <w:rPr>
          <w:rFonts w:cs="Arial"/>
          <w:sz w:val="18"/>
          <w:szCs w:val="18"/>
          <w:lang w:eastAsia="en-GB"/>
        </w:rPr>
        <w:t xml:space="preserve">  The company </w:t>
      </w:r>
      <w:r w:rsidR="002E63E1" w:rsidRPr="002E63E1">
        <w:rPr>
          <w:rFonts w:cs="Arial"/>
          <w:sz w:val="18"/>
          <w:szCs w:val="18"/>
          <w:lang w:eastAsia="en-GB"/>
        </w:rPr>
        <w:t xml:space="preserve">re-registered as a public limited company on 22 October 2018. </w:t>
      </w:r>
    </w:p>
    <w:p w14:paraId="675F636C" w14:textId="77777777" w:rsidR="00230970" w:rsidRPr="007E593B" w:rsidRDefault="00230970" w:rsidP="00230970">
      <w:pPr>
        <w:ind w:left="426"/>
        <w:contextualSpacing/>
        <w:rPr>
          <w:rFonts w:cs="Arial"/>
          <w:sz w:val="18"/>
          <w:szCs w:val="18"/>
          <w:lang w:eastAsia="en-GB"/>
        </w:rPr>
      </w:pPr>
    </w:p>
    <w:p w14:paraId="517601B9" w14:textId="77777777" w:rsidR="00230970" w:rsidRDefault="00230970" w:rsidP="00230970">
      <w:pPr>
        <w:ind w:left="426"/>
        <w:contextualSpacing/>
        <w:rPr>
          <w:rFonts w:cs="Arial"/>
          <w:sz w:val="18"/>
          <w:szCs w:val="18"/>
          <w:lang w:eastAsia="en-GB"/>
        </w:rPr>
      </w:pPr>
      <w:r w:rsidRPr="007E593B">
        <w:rPr>
          <w:rFonts w:cs="Arial"/>
          <w:sz w:val="18"/>
          <w:szCs w:val="18"/>
          <w:lang w:eastAsia="en-GB"/>
        </w:rPr>
        <w:t>The Company’s objective is to undertake an acquisition of a target company or business in the natural resources sector.</w:t>
      </w:r>
    </w:p>
    <w:p w14:paraId="372CE7BB" w14:textId="77777777" w:rsidR="00230970" w:rsidRDefault="00230970" w:rsidP="00230970">
      <w:pPr>
        <w:ind w:left="426"/>
        <w:contextualSpacing/>
        <w:rPr>
          <w:rFonts w:cs="Arial"/>
          <w:sz w:val="18"/>
          <w:szCs w:val="18"/>
          <w:lang w:eastAsia="en-GB"/>
        </w:rPr>
      </w:pPr>
    </w:p>
    <w:p w14:paraId="50C2BC63" w14:textId="77777777" w:rsidR="00230970" w:rsidRPr="007E593B" w:rsidRDefault="00230970" w:rsidP="00230970">
      <w:pPr>
        <w:ind w:left="426"/>
        <w:contextualSpacing/>
        <w:rPr>
          <w:rFonts w:cs="Arial"/>
          <w:sz w:val="18"/>
          <w:szCs w:val="18"/>
          <w:lang w:eastAsia="en-GB"/>
        </w:rPr>
      </w:pPr>
      <w:r w:rsidRPr="00837CCF">
        <w:rPr>
          <w:sz w:val="18"/>
        </w:rPr>
        <w:t>The Company does not have a defined life as it has no fixed time limit to conduct the Acquisition</w:t>
      </w:r>
      <w:r w:rsidR="00B66CD6">
        <w:rPr>
          <w:sz w:val="18"/>
        </w:rPr>
        <w:t>.</w:t>
      </w:r>
    </w:p>
    <w:p w14:paraId="59C1F86E" w14:textId="77777777" w:rsidR="00230970" w:rsidRPr="007E593B" w:rsidRDefault="00230970" w:rsidP="00230970">
      <w:pPr>
        <w:ind w:left="426"/>
        <w:contextualSpacing/>
        <w:rPr>
          <w:rFonts w:cs="Arial"/>
          <w:sz w:val="18"/>
          <w:szCs w:val="18"/>
          <w:lang w:eastAsia="en-GB"/>
        </w:rPr>
      </w:pPr>
    </w:p>
    <w:p w14:paraId="01648555" w14:textId="77777777" w:rsidR="00230970" w:rsidRPr="007E593B" w:rsidRDefault="00230970" w:rsidP="00230970">
      <w:pPr>
        <w:ind w:left="426"/>
        <w:contextualSpacing/>
        <w:rPr>
          <w:rFonts w:cs="Arial"/>
          <w:sz w:val="18"/>
          <w:szCs w:val="18"/>
          <w:lang w:eastAsia="en-GB"/>
        </w:rPr>
      </w:pPr>
      <w:r w:rsidRPr="007E593B">
        <w:rPr>
          <w:rFonts w:cs="Arial"/>
          <w:sz w:val="18"/>
          <w:szCs w:val="18"/>
          <w:lang w:eastAsia="en-GB"/>
        </w:rPr>
        <w:t>Other than the Directors the company did not have any staff.</w:t>
      </w:r>
    </w:p>
    <w:p w14:paraId="085BBA8A" w14:textId="77777777" w:rsidR="00230970" w:rsidRPr="007E593B" w:rsidRDefault="00230970" w:rsidP="00230970">
      <w:pPr>
        <w:ind w:left="426"/>
        <w:contextualSpacing/>
        <w:rPr>
          <w:rFonts w:cs="Arial"/>
          <w:sz w:val="18"/>
          <w:szCs w:val="18"/>
          <w:lang w:eastAsia="en-GB"/>
        </w:rPr>
      </w:pPr>
    </w:p>
    <w:p w14:paraId="420FFD80" w14:textId="77777777" w:rsidR="00230970" w:rsidRPr="007D673F" w:rsidRDefault="003949D4" w:rsidP="00230970">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ACCOUNTING POLICIES</w:t>
      </w:r>
      <w:r w:rsidR="00230970" w:rsidRPr="007D673F">
        <w:rPr>
          <w:rFonts w:cs="Arial"/>
          <w:b/>
          <w:sz w:val="18"/>
          <w:szCs w:val="18"/>
          <w:lang w:eastAsia="en-GB"/>
        </w:rPr>
        <w:t xml:space="preserve"> </w:t>
      </w:r>
    </w:p>
    <w:p w14:paraId="7A7CF3C5" w14:textId="77777777" w:rsidR="00230970" w:rsidRPr="007D673F" w:rsidRDefault="00230970" w:rsidP="00230970">
      <w:pPr>
        <w:ind w:left="426"/>
        <w:contextualSpacing/>
        <w:rPr>
          <w:rFonts w:cs="Arial"/>
          <w:b/>
          <w:sz w:val="18"/>
          <w:szCs w:val="18"/>
          <w:lang w:eastAsia="en-GB"/>
        </w:rPr>
      </w:pPr>
    </w:p>
    <w:p w14:paraId="26A0D40A" w14:textId="77777777" w:rsidR="00230970" w:rsidRPr="007D673F" w:rsidRDefault="00230970" w:rsidP="00230970">
      <w:pPr>
        <w:ind w:left="426"/>
        <w:contextualSpacing/>
        <w:rPr>
          <w:rFonts w:cs="Arial"/>
          <w:b/>
          <w:i/>
          <w:sz w:val="18"/>
          <w:szCs w:val="18"/>
          <w:lang w:eastAsia="en-GB"/>
        </w:rPr>
      </w:pPr>
      <w:r w:rsidRPr="007D673F">
        <w:rPr>
          <w:rFonts w:cs="Arial"/>
          <w:b/>
          <w:i/>
          <w:sz w:val="18"/>
          <w:szCs w:val="18"/>
          <w:lang w:eastAsia="en-GB"/>
        </w:rPr>
        <w:t>Basis of preparation</w:t>
      </w:r>
    </w:p>
    <w:p w14:paraId="02F346B3" w14:textId="77777777" w:rsidR="00230970" w:rsidRPr="007D673F" w:rsidRDefault="00230970" w:rsidP="00230970">
      <w:pPr>
        <w:ind w:left="426"/>
        <w:contextualSpacing/>
        <w:rPr>
          <w:rFonts w:cs="Arial"/>
          <w:b/>
          <w:i/>
          <w:sz w:val="18"/>
          <w:szCs w:val="18"/>
          <w:lang w:eastAsia="en-GB"/>
        </w:rPr>
      </w:pPr>
    </w:p>
    <w:p w14:paraId="49EBE3F2" w14:textId="77777777"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The principal accounting policies adopted by the Company in the preparation of the Company Financial </w:t>
      </w:r>
      <w:r w:rsidR="00CB7800">
        <w:rPr>
          <w:rFonts w:cs="Arial"/>
          <w:sz w:val="18"/>
          <w:szCs w:val="18"/>
          <w:lang w:eastAsia="en-GB"/>
        </w:rPr>
        <w:t>Statements</w:t>
      </w:r>
      <w:r w:rsidRPr="007D673F">
        <w:rPr>
          <w:rFonts w:cs="Arial"/>
          <w:sz w:val="18"/>
          <w:szCs w:val="18"/>
          <w:lang w:eastAsia="en-GB"/>
        </w:rPr>
        <w:t xml:space="preserve"> are set out below.</w:t>
      </w:r>
    </w:p>
    <w:p w14:paraId="7994871E" w14:textId="77777777" w:rsidR="00230970" w:rsidRPr="007D673F" w:rsidRDefault="00230970" w:rsidP="00230970">
      <w:pPr>
        <w:ind w:left="426"/>
        <w:contextualSpacing/>
        <w:rPr>
          <w:rFonts w:cs="Arial"/>
          <w:sz w:val="18"/>
          <w:szCs w:val="18"/>
          <w:lang w:eastAsia="en-GB"/>
        </w:rPr>
      </w:pPr>
    </w:p>
    <w:p w14:paraId="52107053" w14:textId="77777777"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The Company Financial </w:t>
      </w:r>
      <w:r w:rsidR="00CB7800">
        <w:rPr>
          <w:rFonts w:cs="Arial"/>
          <w:sz w:val="18"/>
          <w:szCs w:val="18"/>
          <w:lang w:eastAsia="en-GB"/>
        </w:rPr>
        <w:t>Statements</w:t>
      </w:r>
      <w:r w:rsidRPr="007D673F">
        <w:rPr>
          <w:rFonts w:cs="Arial"/>
          <w:sz w:val="18"/>
          <w:szCs w:val="18"/>
          <w:lang w:eastAsia="en-GB"/>
        </w:rPr>
        <w:t xml:space="preserve"> has been presented in Pounds Sterling, being the functional currency of the Company.</w:t>
      </w:r>
    </w:p>
    <w:p w14:paraId="5BB205AE" w14:textId="77777777" w:rsidR="00230970" w:rsidRPr="007D673F" w:rsidRDefault="00230970" w:rsidP="00230970">
      <w:pPr>
        <w:ind w:left="426"/>
        <w:contextualSpacing/>
        <w:rPr>
          <w:rFonts w:cs="Arial"/>
          <w:sz w:val="18"/>
          <w:szCs w:val="18"/>
          <w:lang w:eastAsia="en-GB"/>
        </w:rPr>
      </w:pPr>
    </w:p>
    <w:p w14:paraId="5790C2C5" w14:textId="409E0B52"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The Company Financial </w:t>
      </w:r>
      <w:r w:rsidR="00CB7800">
        <w:rPr>
          <w:rFonts w:cs="Arial"/>
          <w:sz w:val="18"/>
          <w:szCs w:val="18"/>
          <w:lang w:eastAsia="en-GB"/>
        </w:rPr>
        <w:t>Statements</w:t>
      </w:r>
      <w:r w:rsidRPr="007D673F">
        <w:rPr>
          <w:rFonts w:cs="Arial"/>
          <w:sz w:val="18"/>
          <w:szCs w:val="18"/>
          <w:lang w:eastAsia="en-GB"/>
        </w:rPr>
        <w:t xml:space="preserve"> has been prepared in accordance with </w:t>
      </w:r>
      <w:r w:rsidR="00AA6757">
        <w:rPr>
          <w:rFonts w:cs="Arial"/>
          <w:sz w:val="18"/>
          <w:szCs w:val="18"/>
          <w:lang w:eastAsia="en-GB"/>
        </w:rPr>
        <w:t>UK adopted International Accounting Standards</w:t>
      </w:r>
      <w:r w:rsidRPr="007D673F">
        <w:rPr>
          <w:rFonts w:cs="Arial"/>
          <w:sz w:val="18"/>
          <w:szCs w:val="18"/>
          <w:lang w:eastAsia="en-GB"/>
        </w:rPr>
        <w:t>.</w:t>
      </w:r>
    </w:p>
    <w:p w14:paraId="678CE23F" w14:textId="77777777" w:rsidR="00230970" w:rsidRPr="007D673F" w:rsidRDefault="00230970" w:rsidP="00230970">
      <w:pPr>
        <w:ind w:left="426"/>
        <w:contextualSpacing/>
        <w:rPr>
          <w:rFonts w:cs="Arial"/>
          <w:sz w:val="18"/>
          <w:szCs w:val="18"/>
          <w:lang w:eastAsia="en-GB"/>
        </w:rPr>
      </w:pPr>
    </w:p>
    <w:p w14:paraId="22D06D32" w14:textId="77777777" w:rsidR="00230970" w:rsidRPr="007D673F" w:rsidRDefault="00230970" w:rsidP="00230970">
      <w:pPr>
        <w:ind w:left="426"/>
        <w:contextualSpacing/>
        <w:rPr>
          <w:rFonts w:cs="Arial"/>
          <w:b/>
          <w:i/>
          <w:sz w:val="18"/>
          <w:szCs w:val="18"/>
          <w:lang w:eastAsia="en-GB"/>
        </w:rPr>
      </w:pPr>
      <w:r w:rsidRPr="007D673F">
        <w:rPr>
          <w:rFonts w:cs="Arial"/>
          <w:b/>
          <w:i/>
          <w:sz w:val="18"/>
          <w:szCs w:val="18"/>
          <w:lang w:eastAsia="en-GB"/>
        </w:rPr>
        <w:t>Standards and interpretations issued but not yet applied</w:t>
      </w:r>
    </w:p>
    <w:p w14:paraId="30F9D6A1" w14:textId="77777777"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A number of new standards and amendments to standards and interpretations have been issued but are not yet effective and, in some cases, have not yet been adopted by the </w:t>
      </w:r>
      <w:r w:rsidR="00AA6757">
        <w:rPr>
          <w:rFonts w:cs="Arial"/>
          <w:sz w:val="18"/>
          <w:szCs w:val="18"/>
          <w:lang w:eastAsia="en-GB"/>
        </w:rPr>
        <w:t>UK</w:t>
      </w:r>
      <w:r w:rsidRPr="007D673F">
        <w:rPr>
          <w:rFonts w:cs="Arial"/>
          <w:sz w:val="18"/>
          <w:szCs w:val="18"/>
          <w:lang w:eastAsia="en-GB"/>
        </w:rPr>
        <w:t xml:space="preserve">. The Directors do not expect that the adoption of these standards will have a material impact on the Company Financial </w:t>
      </w:r>
      <w:r w:rsidR="00CB7800">
        <w:rPr>
          <w:rFonts w:cs="Arial"/>
          <w:sz w:val="18"/>
          <w:szCs w:val="18"/>
          <w:lang w:eastAsia="en-GB"/>
        </w:rPr>
        <w:t>Statements</w:t>
      </w:r>
      <w:r w:rsidRPr="007D673F">
        <w:rPr>
          <w:rFonts w:cs="Arial"/>
          <w:sz w:val="18"/>
          <w:szCs w:val="18"/>
          <w:lang w:eastAsia="en-GB"/>
        </w:rPr>
        <w:t>.</w:t>
      </w:r>
    </w:p>
    <w:p w14:paraId="7BABB28E" w14:textId="77777777" w:rsidR="00230970" w:rsidRDefault="00230970" w:rsidP="00230970">
      <w:pPr>
        <w:ind w:left="426"/>
        <w:contextualSpacing/>
        <w:rPr>
          <w:rFonts w:cs="Arial"/>
          <w:b/>
          <w:i/>
          <w:sz w:val="18"/>
          <w:szCs w:val="18"/>
          <w:lang w:eastAsia="en-GB"/>
        </w:rPr>
      </w:pPr>
    </w:p>
    <w:p w14:paraId="04EDEA26" w14:textId="77777777" w:rsidR="00DE426B" w:rsidRPr="00DE426B" w:rsidRDefault="00DE426B" w:rsidP="00DE426B">
      <w:pPr>
        <w:ind w:left="426"/>
        <w:contextualSpacing/>
        <w:rPr>
          <w:rFonts w:cs="Arial"/>
          <w:b/>
          <w:i/>
          <w:sz w:val="18"/>
          <w:szCs w:val="18"/>
          <w:lang w:eastAsia="en-GB"/>
        </w:rPr>
      </w:pPr>
      <w:r w:rsidRPr="00DE426B">
        <w:rPr>
          <w:rFonts w:cs="Arial"/>
          <w:b/>
          <w:i/>
          <w:sz w:val="18"/>
          <w:szCs w:val="18"/>
          <w:lang w:eastAsia="en-GB"/>
        </w:rPr>
        <w:t>Going concern</w:t>
      </w:r>
    </w:p>
    <w:p w14:paraId="363C7152" w14:textId="77777777" w:rsidR="00CB7800" w:rsidRPr="00786A78" w:rsidRDefault="00CB7800" w:rsidP="00CB7800">
      <w:pPr>
        <w:ind w:left="426"/>
        <w:contextualSpacing/>
        <w:rPr>
          <w:sz w:val="18"/>
          <w:szCs w:val="18"/>
        </w:rPr>
      </w:pPr>
      <w:r w:rsidRPr="00786A78">
        <w:rPr>
          <w:sz w:val="18"/>
          <w:szCs w:val="18"/>
        </w:rPr>
        <w:t xml:space="preserve">These financial statements are prepared on the going concern basis. The going concern basis assumes that the Company will continue in operation for the </w:t>
      </w:r>
      <w:r w:rsidRPr="00786A78">
        <w:rPr>
          <w:rFonts w:cs="Arial"/>
          <w:sz w:val="18"/>
          <w:szCs w:val="18"/>
          <w:lang w:eastAsia="en-GB"/>
        </w:rPr>
        <w:t>foreseeable</w:t>
      </w:r>
      <w:r w:rsidRPr="00786A78">
        <w:rPr>
          <w:sz w:val="18"/>
          <w:szCs w:val="18"/>
        </w:rPr>
        <w:t xml:space="preserve"> future and will be able to realise its assets and discharge its liabilities and commitments in the normal course of </w:t>
      </w:r>
      <w:r w:rsidRPr="00786A78">
        <w:rPr>
          <w:rFonts w:cs="Arial"/>
          <w:sz w:val="18"/>
          <w:szCs w:val="18"/>
          <w:lang w:eastAsia="en-GB"/>
        </w:rPr>
        <w:t>business</w:t>
      </w:r>
      <w:r w:rsidRPr="00786A78">
        <w:rPr>
          <w:sz w:val="18"/>
          <w:szCs w:val="18"/>
        </w:rPr>
        <w:t xml:space="preserve">. </w:t>
      </w:r>
    </w:p>
    <w:p w14:paraId="47D43580" w14:textId="77777777" w:rsidR="00CB7800" w:rsidRPr="00786A78" w:rsidRDefault="00CB7800" w:rsidP="00EE785D">
      <w:pPr>
        <w:ind w:left="426"/>
        <w:contextualSpacing/>
        <w:rPr>
          <w:sz w:val="18"/>
          <w:szCs w:val="18"/>
        </w:rPr>
      </w:pPr>
    </w:p>
    <w:p w14:paraId="331539C1" w14:textId="4EE1DE52" w:rsidR="00CB7800" w:rsidRPr="00786A78" w:rsidRDefault="00CB7800" w:rsidP="00CB7800">
      <w:pPr>
        <w:ind w:left="426"/>
        <w:contextualSpacing/>
        <w:rPr>
          <w:sz w:val="18"/>
          <w:szCs w:val="18"/>
        </w:rPr>
      </w:pPr>
      <w:r w:rsidRPr="00786A78">
        <w:rPr>
          <w:sz w:val="18"/>
          <w:szCs w:val="18"/>
        </w:rPr>
        <w:t xml:space="preserve">The Company has limited administrative expenses associated with its continuing operations and its liabilities are limited to trade payables associated with the administrative </w:t>
      </w:r>
      <w:r w:rsidRPr="00786A78">
        <w:rPr>
          <w:rFonts w:cs="Arial"/>
          <w:sz w:val="18"/>
          <w:szCs w:val="18"/>
          <w:lang w:eastAsia="en-GB"/>
        </w:rPr>
        <w:t>expenditure</w:t>
      </w:r>
      <w:r w:rsidRPr="00786A78">
        <w:rPr>
          <w:sz w:val="18"/>
          <w:szCs w:val="18"/>
        </w:rPr>
        <w:t xml:space="preserve">. The </w:t>
      </w:r>
      <w:r w:rsidRPr="00786A78">
        <w:rPr>
          <w:rFonts w:cs="Arial"/>
          <w:sz w:val="18"/>
          <w:szCs w:val="18"/>
          <w:lang w:eastAsia="en-GB"/>
        </w:rPr>
        <w:t>Directors</w:t>
      </w:r>
      <w:r w:rsidRPr="00786A78">
        <w:rPr>
          <w:sz w:val="18"/>
          <w:szCs w:val="18"/>
        </w:rPr>
        <w:t xml:space="preserve"> have prepared budgetary forecasts for the period ended 30 June 202</w:t>
      </w:r>
      <w:r w:rsidR="008532C2" w:rsidRPr="00786A78">
        <w:rPr>
          <w:sz w:val="18"/>
          <w:szCs w:val="18"/>
        </w:rPr>
        <w:t>4</w:t>
      </w:r>
      <w:r w:rsidRPr="00786A78">
        <w:rPr>
          <w:sz w:val="18"/>
          <w:szCs w:val="18"/>
        </w:rPr>
        <w:t xml:space="preserve">, considering operating cashflows and expenditure requirements for the Company. </w:t>
      </w:r>
      <w:r w:rsidR="001252A0" w:rsidRPr="00786A78">
        <w:rPr>
          <w:sz w:val="18"/>
          <w:szCs w:val="18"/>
        </w:rPr>
        <w:t xml:space="preserve"> The Company has also received </w:t>
      </w:r>
      <w:r w:rsidR="005676CB" w:rsidRPr="00786A78">
        <w:rPr>
          <w:sz w:val="18"/>
          <w:szCs w:val="18"/>
        </w:rPr>
        <w:t xml:space="preserve">indications </w:t>
      </w:r>
      <w:r w:rsidR="001252A0" w:rsidRPr="00786A78">
        <w:rPr>
          <w:sz w:val="18"/>
          <w:szCs w:val="18"/>
        </w:rPr>
        <w:t xml:space="preserve">of support from its </w:t>
      </w:r>
      <w:r w:rsidR="00BA4D85" w:rsidRPr="00786A78">
        <w:rPr>
          <w:sz w:val="18"/>
          <w:szCs w:val="18"/>
        </w:rPr>
        <w:t>three largest</w:t>
      </w:r>
      <w:r w:rsidR="001252A0" w:rsidRPr="00786A78">
        <w:rPr>
          <w:sz w:val="18"/>
          <w:szCs w:val="18"/>
        </w:rPr>
        <w:t xml:space="preserve"> shareholders</w:t>
      </w:r>
      <w:r w:rsidR="00BA4D85" w:rsidRPr="00786A78">
        <w:rPr>
          <w:sz w:val="18"/>
          <w:szCs w:val="18"/>
        </w:rPr>
        <w:t xml:space="preserve"> (and </w:t>
      </w:r>
      <w:r w:rsidR="001252A0" w:rsidRPr="00786A78">
        <w:rPr>
          <w:sz w:val="18"/>
          <w:szCs w:val="18"/>
        </w:rPr>
        <w:t>warrant holders</w:t>
      </w:r>
      <w:r w:rsidR="00BA4D85" w:rsidRPr="00786A78">
        <w:rPr>
          <w:sz w:val="18"/>
          <w:szCs w:val="18"/>
        </w:rPr>
        <w:t>)</w:t>
      </w:r>
      <w:r w:rsidR="001252A0" w:rsidRPr="00786A78">
        <w:rPr>
          <w:sz w:val="18"/>
          <w:szCs w:val="18"/>
        </w:rPr>
        <w:t xml:space="preserve"> who </w:t>
      </w:r>
      <w:r w:rsidR="00786A78">
        <w:rPr>
          <w:sz w:val="18"/>
          <w:szCs w:val="18"/>
        </w:rPr>
        <w:t>may</w:t>
      </w:r>
      <w:r w:rsidR="001252A0" w:rsidRPr="00786A78">
        <w:rPr>
          <w:sz w:val="18"/>
          <w:szCs w:val="18"/>
        </w:rPr>
        <w:t xml:space="preserve"> provide additional funding to the Company</w:t>
      </w:r>
      <w:r w:rsidR="00EF0AF1">
        <w:rPr>
          <w:sz w:val="18"/>
          <w:szCs w:val="18"/>
        </w:rPr>
        <w:t>, via exercise of their warrants or other means of funding provision,</w:t>
      </w:r>
      <w:r w:rsidR="001252A0" w:rsidRPr="00786A78">
        <w:rPr>
          <w:sz w:val="18"/>
          <w:szCs w:val="18"/>
        </w:rPr>
        <w:t xml:space="preserve"> should this be required to facilitate meetings its ongoing cash requirements.</w:t>
      </w:r>
    </w:p>
    <w:p w14:paraId="50557B2D" w14:textId="77777777" w:rsidR="00CB7800" w:rsidRPr="00786A78" w:rsidRDefault="00CB7800" w:rsidP="00EE785D">
      <w:pPr>
        <w:ind w:left="426"/>
        <w:contextualSpacing/>
        <w:rPr>
          <w:sz w:val="18"/>
          <w:szCs w:val="18"/>
        </w:rPr>
      </w:pPr>
    </w:p>
    <w:p w14:paraId="7A6353EC" w14:textId="30D31AFA" w:rsidR="00CB7800" w:rsidRDefault="00575C6D" w:rsidP="00575C6D">
      <w:pPr>
        <w:ind w:left="426"/>
        <w:contextualSpacing/>
        <w:rPr>
          <w:sz w:val="18"/>
          <w:szCs w:val="18"/>
        </w:rPr>
      </w:pPr>
      <w:r>
        <w:rPr>
          <w:sz w:val="18"/>
          <w:szCs w:val="18"/>
        </w:rPr>
        <w:t>However, i</w:t>
      </w:r>
      <w:r w:rsidR="000B3B73">
        <w:rPr>
          <w:sz w:val="18"/>
          <w:szCs w:val="18"/>
        </w:rPr>
        <w:t>n order for the Company to be able to continue operating as a going concern</w:t>
      </w:r>
      <w:r>
        <w:rPr>
          <w:sz w:val="18"/>
          <w:szCs w:val="18"/>
        </w:rPr>
        <w:t>, it will require additional funding in the near term.  Whilst the directors remain confident that such funding will be available, including the potential provision of financial support by the above referenced warrant holders, there can be no certainty that such funding will be available as and when it becomes necessary to continue to meet the ongoing needs of the business.   As a result,</w:t>
      </w:r>
      <w:r w:rsidR="003A6BD5" w:rsidRPr="00786A78">
        <w:rPr>
          <w:sz w:val="18"/>
          <w:szCs w:val="18"/>
        </w:rPr>
        <w:t xml:space="preserve"> there exists a material uncertainty which may cast significant doubt on the Company’s ability to continue as a going concern</w:t>
      </w:r>
      <w:r w:rsidR="00CB7800" w:rsidRPr="00786A78">
        <w:rPr>
          <w:sz w:val="18"/>
          <w:szCs w:val="18"/>
        </w:rPr>
        <w:t>. The financial statements do not include any adjustments that would result if the Group was unable to continue as a going concern.</w:t>
      </w:r>
    </w:p>
    <w:p w14:paraId="4F977820" w14:textId="77777777" w:rsidR="00BB1A7C" w:rsidRDefault="00BB1A7C" w:rsidP="00230970">
      <w:pPr>
        <w:ind w:left="426"/>
        <w:contextualSpacing/>
        <w:rPr>
          <w:rFonts w:cs="Arial"/>
          <w:b/>
          <w:i/>
          <w:sz w:val="18"/>
          <w:szCs w:val="18"/>
          <w:lang w:eastAsia="en-GB"/>
        </w:rPr>
      </w:pPr>
    </w:p>
    <w:p w14:paraId="00E832FA" w14:textId="77777777" w:rsidR="00D55EA1" w:rsidRPr="00737882" w:rsidRDefault="00D55EA1" w:rsidP="00230970">
      <w:pPr>
        <w:ind w:left="426"/>
        <w:contextualSpacing/>
        <w:rPr>
          <w:rFonts w:cs="Arial"/>
          <w:b/>
          <w:i/>
          <w:sz w:val="18"/>
          <w:szCs w:val="18"/>
          <w:lang w:eastAsia="en-GB"/>
        </w:rPr>
      </w:pPr>
      <w:r w:rsidRPr="00737882">
        <w:rPr>
          <w:rFonts w:cs="Arial"/>
          <w:b/>
          <w:i/>
          <w:sz w:val="18"/>
          <w:szCs w:val="18"/>
          <w:lang w:eastAsia="en-GB"/>
        </w:rPr>
        <w:t xml:space="preserve">Share capital </w:t>
      </w:r>
    </w:p>
    <w:p w14:paraId="66F86202" w14:textId="77777777" w:rsidR="00D55EA1" w:rsidRDefault="00D55EA1" w:rsidP="00230970">
      <w:pPr>
        <w:ind w:left="426"/>
        <w:contextualSpacing/>
        <w:rPr>
          <w:sz w:val="18"/>
          <w:szCs w:val="18"/>
        </w:rPr>
      </w:pPr>
      <w:r w:rsidRPr="00737882">
        <w:rPr>
          <w:sz w:val="18"/>
          <w:szCs w:val="18"/>
        </w:rPr>
        <w:t xml:space="preserve">Proceeds from issuance of ordinary shares are classified as equity. Amounts in excess of the nominal value of the shares issued is recognised as share premium. </w:t>
      </w:r>
      <w:r w:rsidR="004E4621" w:rsidRPr="00737882">
        <w:rPr>
          <w:sz w:val="18"/>
          <w:szCs w:val="18"/>
        </w:rPr>
        <w:t>Incremental costs directly attributable to the issuance of new ordinary shares are deducted against share capital.</w:t>
      </w:r>
    </w:p>
    <w:p w14:paraId="61D4C19D" w14:textId="77777777" w:rsidR="00187646" w:rsidRPr="00B24D9F" w:rsidRDefault="00187646" w:rsidP="00230970">
      <w:pPr>
        <w:ind w:left="426"/>
        <w:contextualSpacing/>
        <w:rPr>
          <w:rFonts w:cstheme="minorHAnsi"/>
          <w:sz w:val="18"/>
          <w:szCs w:val="18"/>
        </w:rPr>
      </w:pPr>
    </w:p>
    <w:p w14:paraId="3A149600" w14:textId="77777777" w:rsidR="00B24D9F" w:rsidRPr="00786A78" w:rsidRDefault="00B24D9F" w:rsidP="00786A78">
      <w:pPr>
        <w:pStyle w:val="BodyA"/>
        <w:keepNext/>
        <w:ind w:firstLine="426"/>
        <w:jc w:val="both"/>
        <w:outlineLvl w:val="1"/>
        <w:rPr>
          <w:rStyle w:val="NoneA"/>
          <w:rFonts w:asciiTheme="minorHAnsi" w:eastAsia="Arial" w:hAnsiTheme="minorHAnsi" w:cstheme="minorHAnsi"/>
          <w:b/>
          <w:bCs/>
          <w:i/>
          <w:iCs/>
          <w:sz w:val="18"/>
          <w:szCs w:val="18"/>
          <w:vertAlign w:val="superscript"/>
        </w:rPr>
      </w:pPr>
      <w:r w:rsidRPr="00786A78">
        <w:rPr>
          <w:rStyle w:val="NoneA"/>
          <w:rFonts w:asciiTheme="minorHAnsi" w:hAnsiTheme="minorHAnsi" w:cstheme="minorHAnsi"/>
          <w:b/>
          <w:bCs/>
          <w:i/>
          <w:iCs/>
          <w:sz w:val="18"/>
          <w:szCs w:val="18"/>
        </w:rPr>
        <w:t>Warrants</w:t>
      </w:r>
      <w:r>
        <w:rPr>
          <w:rStyle w:val="NoneA"/>
          <w:rFonts w:asciiTheme="minorHAnsi" w:hAnsiTheme="minorHAnsi" w:cstheme="minorHAnsi"/>
          <w:b/>
          <w:bCs/>
          <w:i/>
          <w:iCs/>
          <w:sz w:val="18"/>
          <w:szCs w:val="18"/>
        </w:rPr>
        <w:t xml:space="preserve"> and Options</w:t>
      </w:r>
    </w:p>
    <w:p w14:paraId="42CB6267" w14:textId="10E78A80" w:rsidR="00187646" w:rsidRPr="00B24D9F" w:rsidRDefault="00B24D9F" w:rsidP="00B24D9F">
      <w:pPr>
        <w:ind w:left="426"/>
        <w:contextualSpacing/>
        <w:rPr>
          <w:rFonts w:cstheme="minorHAnsi"/>
          <w:sz w:val="18"/>
          <w:szCs w:val="18"/>
        </w:rPr>
      </w:pPr>
      <w:r w:rsidRPr="00786A78">
        <w:rPr>
          <w:rStyle w:val="NoneA"/>
          <w:rFonts w:cstheme="minorHAnsi"/>
          <w:sz w:val="18"/>
          <w:szCs w:val="18"/>
        </w:rPr>
        <w:t xml:space="preserve">Warrants </w:t>
      </w:r>
      <w:r>
        <w:rPr>
          <w:rStyle w:val="NoneA"/>
          <w:rFonts w:cstheme="minorHAnsi"/>
          <w:sz w:val="18"/>
          <w:szCs w:val="18"/>
        </w:rPr>
        <w:t xml:space="preserve">and options </w:t>
      </w:r>
      <w:r w:rsidRPr="00786A78">
        <w:rPr>
          <w:rStyle w:val="NoneA"/>
          <w:rFonts w:cstheme="minorHAnsi"/>
          <w:sz w:val="18"/>
          <w:szCs w:val="18"/>
        </w:rPr>
        <w:t xml:space="preserve">classified as equity are recorded at fair value as of the date of issuance on the Company’s Statement of Financial Position and no further adjustments to their valuation are made. Management estimates the fair value of these </w:t>
      </w:r>
      <w:r w:rsidR="00761544">
        <w:rPr>
          <w:rStyle w:val="NoneA"/>
          <w:rFonts w:cstheme="minorHAnsi"/>
          <w:sz w:val="18"/>
          <w:szCs w:val="18"/>
        </w:rPr>
        <w:t>instruments</w:t>
      </w:r>
      <w:r w:rsidRPr="00786A78">
        <w:rPr>
          <w:rStyle w:val="NoneA"/>
          <w:rFonts w:cstheme="minorHAnsi"/>
          <w:sz w:val="18"/>
          <w:szCs w:val="18"/>
        </w:rPr>
        <w:t xml:space="preserve">, using option pricing models and assumptions that are based on the individual characteristics of the warrants or </w:t>
      </w:r>
      <w:r>
        <w:rPr>
          <w:rStyle w:val="NoneA"/>
          <w:rFonts w:cstheme="minorHAnsi"/>
          <w:sz w:val="18"/>
          <w:szCs w:val="18"/>
        </w:rPr>
        <w:t>options</w:t>
      </w:r>
      <w:r w:rsidRPr="00786A78">
        <w:rPr>
          <w:rStyle w:val="NoneA"/>
          <w:rFonts w:cstheme="minorHAnsi"/>
          <w:sz w:val="18"/>
          <w:szCs w:val="18"/>
        </w:rPr>
        <w:t xml:space="preserve"> on the valuation date as well as assumptions for expected volatility, expected life, yield and risk-free interest </w:t>
      </w:r>
      <w:r w:rsidRPr="00786A78">
        <w:rPr>
          <w:rStyle w:val="NoneA"/>
          <w:rFonts w:cstheme="minorHAnsi"/>
          <w:sz w:val="18"/>
          <w:szCs w:val="18"/>
        </w:rPr>
        <w:lastRenderedPageBreak/>
        <w:t>rate.</w:t>
      </w:r>
    </w:p>
    <w:p w14:paraId="0F8AF28C" w14:textId="77777777" w:rsidR="00D55EA1" w:rsidRPr="00B24D9F" w:rsidRDefault="00D55EA1" w:rsidP="00230970">
      <w:pPr>
        <w:ind w:left="426"/>
        <w:contextualSpacing/>
        <w:rPr>
          <w:rFonts w:cstheme="minorHAnsi"/>
          <w:b/>
          <w:i/>
          <w:sz w:val="18"/>
          <w:szCs w:val="18"/>
          <w:lang w:eastAsia="en-GB"/>
        </w:rPr>
      </w:pPr>
    </w:p>
    <w:p w14:paraId="60879244" w14:textId="77777777" w:rsidR="00230970" w:rsidRPr="007D673F" w:rsidRDefault="00230970" w:rsidP="00230970">
      <w:pPr>
        <w:ind w:left="426"/>
        <w:contextualSpacing/>
        <w:rPr>
          <w:rFonts w:cs="Arial"/>
          <w:b/>
          <w:i/>
          <w:sz w:val="18"/>
          <w:szCs w:val="18"/>
          <w:lang w:eastAsia="en-GB"/>
        </w:rPr>
      </w:pPr>
      <w:r w:rsidRPr="007D673F">
        <w:rPr>
          <w:rFonts w:cs="Arial"/>
          <w:b/>
          <w:i/>
          <w:sz w:val="18"/>
          <w:szCs w:val="18"/>
          <w:lang w:eastAsia="en-GB"/>
        </w:rPr>
        <w:t>Financial assets</w:t>
      </w:r>
      <w:r w:rsidR="00076B0A">
        <w:rPr>
          <w:rFonts w:cs="Arial"/>
          <w:b/>
          <w:i/>
          <w:sz w:val="18"/>
          <w:szCs w:val="18"/>
          <w:lang w:eastAsia="en-GB"/>
        </w:rPr>
        <w:t xml:space="preserve"> and liabilities </w:t>
      </w:r>
    </w:p>
    <w:p w14:paraId="4C031764" w14:textId="77777777" w:rsidR="00230970" w:rsidRPr="007D673F" w:rsidRDefault="00230970" w:rsidP="00230970">
      <w:pPr>
        <w:ind w:left="426"/>
        <w:contextualSpacing/>
        <w:rPr>
          <w:sz w:val="18"/>
          <w:szCs w:val="18"/>
        </w:rPr>
      </w:pPr>
      <w:r w:rsidRPr="007D673F">
        <w:rPr>
          <w:sz w:val="18"/>
          <w:szCs w:val="18"/>
        </w:rPr>
        <w:t>Financial assets and financial liabilities are recognised when the Company becomes a party to the contractual provisions of a financial instrument. Financial assets and financial liabilities are offset if there is a legally enforceable right to set off the recognised amounts and interests and it is intended to settle on a net basis.</w:t>
      </w:r>
    </w:p>
    <w:p w14:paraId="2DA52541" w14:textId="77777777" w:rsidR="00230970" w:rsidRDefault="00230970" w:rsidP="00230970">
      <w:pPr>
        <w:ind w:left="426"/>
        <w:contextualSpacing/>
        <w:rPr>
          <w:rFonts w:cs="Arial"/>
          <w:sz w:val="18"/>
          <w:szCs w:val="18"/>
          <w:lang w:eastAsia="en-GB"/>
        </w:rPr>
      </w:pPr>
    </w:p>
    <w:p w14:paraId="339304DB" w14:textId="77777777" w:rsidR="00076B0A" w:rsidRDefault="00076B0A" w:rsidP="00230970">
      <w:pPr>
        <w:ind w:left="426"/>
        <w:contextualSpacing/>
        <w:rPr>
          <w:rFonts w:cs="Arial"/>
          <w:i/>
          <w:sz w:val="18"/>
          <w:szCs w:val="18"/>
          <w:lang w:eastAsia="en-GB"/>
        </w:rPr>
      </w:pPr>
      <w:r>
        <w:rPr>
          <w:rFonts w:cs="Arial"/>
          <w:i/>
          <w:sz w:val="18"/>
          <w:szCs w:val="18"/>
          <w:lang w:eastAsia="en-GB"/>
        </w:rPr>
        <w:t xml:space="preserve">Financial assets </w:t>
      </w:r>
    </w:p>
    <w:p w14:paraId="2A2E2206" w14:textId="77777777" w:rsidR="000D5C60" w:rsidRDefault="00F16DD5" w:rsidP="00EE785D">
      <w:pPr>
        <w:ind w:left="426"/>
        <w:contextualSpacing/>
        <w:rPr>
          <w:rFonts w:cs="Arial"/>
          <w:sz w:val="18"/>
          <w:szCs w:val="18"/>
          <w:lang w:eastAsia="en-GB"/>
        </w:rPr>
      </w:pPr>
      <w:r w:rsidRPr="00CB13B7">
        <w:rPr>
          <w:sz w:val="18"/>
          <w:szCs w:val="18"/>
        </w:rPr>
        <w:t>Financial assets which are measured at amortised cost, are measured using the Effective Interest Rate Method (EIR) and are subject to impairment. Gains and losses are recognised in profit or loss when the asset is derecognised, modified or impaired.</w:t>
      </w:r>
    </w:p>
    <w:p w14:paraId="46DBF933" w14:textId="77777777" w:rsidR="00076B0A" w:rsidRDefault="00076B0A" w:rsidP="00230970">
      <w:pPr>
        <w:ind w:left="426"/>
        <w:contextualSpacing/>
        <w:rPr>
          <w:rFonts w:cs="Arial"/>
          <w:sz w:val="18"/>
          <w:szCs w:val="18"/>
          <w:lang w:eastAsia="en-GB"/>
        </w:rPr>
      </w:pPr>
    </w:p>
    <w:p w14:paraId="7FF3FC21" w14:textId="77777777" w:rsidR="00DE426B" w:rsidRPr="00EC002C" w:rsidRDefault="00DE426B" w:rsidP="00EC002C">
      <w:pPr>
        <w:tabs>
          <w:tab w:val="left" w:pos="6045"/>
        </w:tabs>
        <w:ind w:left="426"/>
        <w:contextualSpacing/>
        <w:rPr>
          <w:rFonts w:cs="Arial"/>
          <w:i/>
          <w:sz w:val="18"/>
          <w:szCs w:val="18"/>
          <w:lang w:eastAsia="en-GB"/>
        </w:rPr>
      </w:pPr>
      <w:r w:rsidRPr="00EC002C">
        <w:rPr>
          <w:rFonts w:cs="Arial"/>
          <w:i/>
          <w:sz w:val="18"/>
          <w:szCs w:val="18"/>
          <w:lang w:eastAsia="en-GB"/>
        </w:rPr>
        <w:t>Financial liabilities</w:t>
      </w:r>
      <w:r w:rsidR="006D02F9">
        <w:rPr>
          <w:rFonts w:cs="Arial"/>
          <w:i/>
          <w:sz w:val="18"/>
          <w:szCs w:val="18"/>
          <w:lang w:eastAsia="en-GB"/>
        </w:rPr>
        <w:tab/>
      </w:r>
    </w:p>
    <w:p w14:paraId="4E1C7FB0" w14:textId="77777777" w:rsidR="00DE426B" w:rsidRPr="00DE426B" w:rsidRDefault="00DE426B" w:rsidP="00DE426B">
      <w:pPr>
        <w:ind w:left="426"/>
        <w:contextualSpacing/>
        <w:rPr>
          <w:sz w:val="18"/>
          <w:szCs w:val="18"/>
        </w:rPr>
      </w:pPr>
      <w:r w:rsidRPr="00DE426B">
        <w:rPr>
          <w:sz w:val="18"/>
          <w:szCs w:val="18"/>
        </w:rPr>
        <w:t>The company does not currently have any financial liabilities measured at fair value through profit or loss, therefore all the financial liabilities are initially measured at fair value net of transaction costs and are subsequently measured at amortised cost.</w:t>
      </w:r>
    </w:p>
    <w:p w14:paraId="365B6CF6" w14:textId="77777777" w:rsidR="00DE426B" w:rsidRPr="007D673F" w:rsidRDefault="00DE426B" w:rsidP="00230970">
      <w:pPr>
        <w:ind w:left="426"/>
        <w:contextualSpacing/>
        <w:rPr>
          <w:rFonts w:cs="Arial"/>
          <w:sz w:val="18"/>
          <w:szCs w:val="18"/>
          <w:lang w:eastAsia="en-GB"/>
        </w:rPr>
      </w:pPr>
    </w:p>
    <w:p w14:paraId="6C6FF407" w14:textId="77777777" w:rsidR="00230970" w:rsidRPr="007D673F" w:rsidRDefault="00230970" w:rsidP="00230970">
      <w:pPr>
        <w:ind w:firstLine="426"/>
        <w:rPr>
          <w:rFonts w:cs="Arial"/>
          <w:b/>
          <w:i/>
          <w:sz w:val="18"/>
          <w:szCs w:val="18"/>
          <w:lang w:eastAsia="en-GB"/>
        </w:rPr>
      </w:pPr>
      <w:r w:rsidRPr="007D673F">
        <w:rPr>
          <w:rFonts w:cs="Arial"/>
          <w:b/>
          <w:i/>
          <w:sz w:val="18"/>
          <w:szCs w:val="18"/>
          <w:lang w:eastAsia="en-GB"/>
        </w:rPr>
        <w:t>Use of assumptions and estimates</w:t>
      </w:r>
    </w:p>
    <w:p w14:paraId="1DF1A881" w14:textId="77777777" w:rsidR="00495ED1" w:rsidRPr="00CE64DF" w:rsidRDefault="00495ED1" w:rsidP="00CE64DF">
      <w:pPr>
        <w:widowControl/>
        <w:spacing w:before="0" w:after="0"/>
        <w:ind w:left="426"/>
        <w:rPr>
          <w:rFonts w:eastAsia="Times New Roman" w:cstheme="minorHAnsi"/>
          <w:kern w:val="0"/>
          <w:sz w:val="18"/>
          <w:szCs w:val="18"/>
          <w:lang w:eastAsia="en-GB"/>
        </w:rPr>
      </w:pPr>
      <w:r w:rsidRPr="00CE64DF">
        <w:rPr>
          <w:rFonts w:eastAsia="Times New Roman" w:cstheme="minorHAnsi"/>
          <w:color w:val="000000"/>
          <w:kern w:val="0"/>
          <w:sz w:val="18"/>
          <w:szCs w:val="18"/>
          <w:lang w:eastAsia="en-GB"/>
        </w:rPr>
        <w:t>In preparing the financial statements judgement was used in considering whether or not a material uncertainty exists in relation to going concern. The directors considered the</w:t>
      </w:r>
      <w:r w:rsidR="003A6BD5">
        <w:rPr>
          <w:rFonts w:eastAsia="Times New Roman" w:cstheme="minorHAnsi"/>
          <w:color w:val="000000"/>
          <w:kern w:val="0"/>
          <w:sz w:val="18"/>
          <w:szCs w:val="18"/>
          <w:lang w:eastAsia="en-GB"/>
        </w:rPr>
        <w:t xml:space="preserve"> indications of</w:t>
      </w:r>
      <w:r w:rsidRPr="00CE64DF">
        <w:rPr>
          <w:rFonts w:eastAsia="Times New Roman" w:cstheme="minorHAnsi"/>
          <w:color w:val="000000"/>
          <w:kern w:val="0"/>
          <w:sz w:val="18"/>
          <w:szCs w:val="18"/>
          <w:lang w:eastAsia="en-GB"/>
        </w:rPr>
        <w:t xml:space="preserve"> support received from significant shareholders who have agreed to exercise their warrants in order to provide the company with sufficient cash if required</w:t>
      </w:r>
      <w:r w:rsidR="003270B0">
        <w:rPr>
          <w:rFonts w:eastAsia="Times New Roman" w:cstheme="minorHAnsi"/>
          <w:color w:val="000000"/>
          <w:kern w:val="0"/>
          <w:sz w:val="18"/>
          <w:szCs w:val="18"/>
          <w:lang w:eastAsia="en-GB"/>
        </w:rPr>
        <w:t>.</w:t>
      </w:r>
      <w:r w:rsidR="003A6BD5">
        <w:rPr>
          <w:rFonts w:eastAsia="Times New Roman" w:cstheme="minorHAnsi"/>
          <w:color w:val="000000"/>
          <w:kern w:val="0"/>
          <w:sz w:val="18"/>
          <w:szCs w:val="18"/>
          <w:lang w:eastAsia="en-GB"/>
        </w:rPr>
        <w:t xml:space="preserve"> As this support could not be guaranteed the directors concluded that a material uncertainty exists.</w:t>
      </w:r>
    </w:p>
    <w:p w14:paraId="5ADA2F5C" w14:textId="77777777" w:rsidR="00A00C3A" w:rsidRDefault="00A00C3A" w:rsidP="00962E4E">
      <w:pPr>
        <w:ind w:left="426"/>
        <w:contextualSpacing/>
        <w:rPr>
          <w:rFonts w:cs="Arial"/>
          <w:sz w:val="18"/>
          <w:szCs w:val="18"/>
          <w:lang w:val="en-US" w:eastAsia="en-GB"/>
        </w:rPr>
      </w:pPr>
    </w:p>
    <w:p w14:paraId="7F57B5BC" w14:textId="77777777" w:rsidR="00DE426B" w:rsidRDefault="00DE426B" w:rsidP="00230970">
      <w:pPr>
        <w:ind w:left="426"/>
        <w:contextualSpacing/>
        <w:rPr>
          <w:rFonts w:cs="Arial"/>
          <w:sz w:val="18"/>
          <w:szCs w:val="18"/>
          <w:lang w:val="en-US" w:eastAsia="en-GB"/>
        </w:rPr>
      </w:pPr>
    </w:p>
    <w:p w14:paraId="62E3DAEA" w14:textId="77777777" w:rsidR="00DE426B" w:rsidRPr="00BF0B3E" w:rsidRDefault="00EB01CB" w:rsidP="00DE426B">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AUDITORS’ REMUNERATION</w:t>
      </w:r>
    </w:p>
    <w:p w14:paraId="5A523951" w14:textId="77777777" w:rsidR="00DE426B" w:rsidRPr="00E0152D" w:rsidRDefault="00DE426B" w:rsidP="00DE426B">
      <w:pPr>
        <w:spacing w:after="0"/>
        <w:ind w:left="426"/>
        <w:rPr>
          <w:rFonts w:ascii="Times New Roman" w:hAnsi="Times New Roman"/>
        </w:rPr>
      </w:pPr>
    </w:p>
    <w:p w14:paraId="1F6DD15D" w14:textId="77777777" w:rsidR="00DE426B" w:rsidRPr="00DE426B" w:rsidRDefault="00DE426B" w:rsidP="00DE426B">
      <w:pPr>
        <w:spacing w:after="0"/>
        <w:ind w:left="426"/>
        <w:rPr>
          <w:rFonts w:cs="Arial"/>
          <w:sz w:val="18"/>
          <w:szCs w:val="18"/>
          <w:lang w:eastAsia="en-GB"/>
        </w:rPr>
      </w:pPr>
      <w:r w:rsidRPr="00DE426B">
        <w:rPr>
          <w:rFonts w:cs="Arial"/>
          <w:sz w:val="18"/>
          <w:szCs w:val="18"/>
          <w:lang w:eastAsia="en-GB"/>
        </w:rPr>
        <w:t>The loss before income tax is stated after charging:</w:t>
      </w:r>
    </w:p>
    <w:tbl>
      <w:tblPr>
        <w:tblStyle w:val="TableGrid"/>
        <w:tblW w:w="90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5"/>
        <w:gridCol w:w="1490"/>
        <w:gridCol w:w="1443"/>
      </w:tblGrid>
      <w:tr w:rsidR="00B66CD6" w:rsidRPr="00DE426B" w14:paraId="32583110" w14:textId="77777777" w:rsidTr="00B66CD6">
        <w:trPr>
          <w:trHeight w:val="833"/>
        </w:trPr>
        <w:tc>
          <w:tcPr>
            <w:tcW w:w="6165" w:type="dxa"/>
          </w:tcPr>
          <w:p w14:paraId="530596B4" w14:textId="77777777" w:rsidR="00B66CD6" w:rsidRPr="00DE426B" w:rsidRDefault="00B66CD6" w:rsidP="00DE426B">
            <w:pPr>
              <w:rPr>
                <w:rFonts w:cs="Arial"/>
                <w:sz w:val="18"/>
                <w:szCs w:val="18"/>
                <w:lang w:eastAsia="en-GB"/>
              </w:rPr>
            </w:pPr>
          </w:p>
        </w:tc>
        <w:tc>
          <w:tcPr>
            <w:tcW w:w="1490" w:type="dxa"/>
          </w:tcPr>
          <w:p w14:paraId="187360E4" w14:textId="77777777" w:rsidR="00B66CD6" w:rsidRDefault="00B66CD6" w:rsidP="00DE426B">
            <w:pPr>
              <w:jc w:val="right"/>
              <w:rPr>
                <w:rFonts w:cs="Arial"/>
                <w:sz w:val="18"/>
                <w:szCs w:val="18"/>
                <w:lang w:eastAsia="en-GB"/>
              </w:rPr>
            </w:pPr>
            <w:r>
              <w:rPr>
                <w:rFonts w:cs="Arial"/>
                <w:sz w:val="18"/>
                <w:szCs w:val="18"/>
                <w:lang w:eastAsia="en-GB"/>
              </w:rPr>
              <w:t>202</w:t>
            </w:r>
            <w:r w:rsidR="003F10B3">
              <w:rPr>
                <w:rFonts w:cs="Arial"/>
                <w:sz w:val="18"/>
                <w:szCs w:val="18"/>
                <w:lang w:eastAsia="en-GB"/>
              </w:rPr>
              <w:t>3</w:t>
            </w:r>
          </w:p>
          <w:p w14:paraId="1D58DB14" w14:textId="77777777" w:rsidR="00B66CD6" w:rsidRPr="00DE426B" w:rsidRDefault="00B66CD6" w:rsidP="00DE426B">
            <w:pPr>
              <w:jc w:val="right"/>
              <w:rPr>
                <w:rFonts w:cs="Arial"/>
                <w:sz w:val="18"/>
                <w:szCs w:val="18"/>
                <w:lang w:eastAsia="en-GB"/>
              </w:rPr>
            </w:pPr>
            <w:r w:rsidRPr="00DE426B">
              <w:rPr>
                <w:rFonts w:cs="Arial"/>
                <w:sz w:val="18"/>
                <w:szCs w:val="18"/>
                <w:lang w:eastAsia="en-GB"/>
              </w:rPr>
              <w:t>£</w:t>
            </w:r>
          </w:p>
        </w:tc>
        <w:tc>
          <w:tcPr>
            <w:tcW w:w="1443" w:type="dxa"/>
          </w:tcPr>
          <w:p w14:paraId="74D95658" w14:textId="77777777" w:rsidR="00B66CD6" w:rsidRDefault="00B66CD6" w:rsidP="00DE426B">
            <w:pPr>
              <w:jc w:val="right"/>
              <w:rPr>
                <w:rFonts w:cs="Arial"/>
                <w:sz w:val="18"/>
                <w:szCs w:val="18"/>
                <w:lang w:eastAsia="en-GB"/>
              </w:rPr>
            </w:pPr>
            <w:r>
              <w:rPr>
                <w:rFonts w:cs="Arial"/>
                <w:sz w:val="18"/>
                <w:szCs w:val="18"/>
                <w:lang w:eastAsia="en-GB"/>
              </w:rPr>
              <w:t>202</w:t>
            </w:r>
            <w:r w:rsidR="003F10B3">
              <w:rPr>
                <w:rFonts w:cs="Arial"/>
                <w:sz w:val="18"/>
                <w:szCs w:val="18"/>
                <w:lang w:eastAsia="en-GB"/>
              </w:rPr>
              <w:t>2</w:t>
            </w:r>
          </w:p>
          <w:p w14:paraId="50D26421" w14:textId="77777777" w:rsidR="00B66CD6" w:rsidRPr="00DE426B" w:rsidRDefault="00B66CD6" w:rsidP="00DE426B">
            <w:pPr>
              <w:jc w:val="right"/>
              <w:rPr>
                <w:rFonts w:cs="Arial"/>
                <w:sz w:val="18"/>
                <w:szCs w:val="18"/>
                <w:lang w:eastAsia="en-GB"/>
              </w:rPr>
            </w:pPr>
            <w:r w:rsidRPr="00DE426B">
              <w:rPr>
                <w:rFonts w:cs="Arial"/>
                <w:sz w:val="18"/>
                <w:szCs w:val="18"/>
                <w:lang w:eastAsia="en-GB"/>
              </w:rPr>
              <w:t>£</w:t>
            </w:r>
          </w:p>
        </w:tc>
      </w:tr>
      <w:tr w:rsidR="00B66CD6" w:rsidRPr="00DE426B" w14:paraId="6818F583" w14:textId="77777777" w:rsidTr="00B66CD6">
        <w:trPr>
          <w:trHeight w:val="484"/>
        </w:trPr>
        <w:tc>
          <w:tcPr>
            <w:tcW w:w="6165" w:type="dxa"/>
          </w:tcPr>
          <w:p w14:paraId="7C5EFBF0" w14:textId="77777777" w:rsidR="00B66CD6" w:rsidRPr="00DE426B" w:rsidRDefault="00B66CD6" w:rsidP="00DE426B">
            <w:pPr>
              <w:rPr>
                <w:rFonts w:cs="Arial"/>
                <w:sz w:val="18"/>
                <w:szCs w:val="18"/>
                <w:lang w:eastAsia="en-GB"/>
              </w:rPr>
            </w:pPr>
            <w:r w:rsidRPr="00DE426B">
              <w:rPr>
                <w:rFonts w:cs="Arial"/>
                <w:sz w:val="18"/>
                <w:szCs w:val="18"/>
                <w:lang w:eastAsia="en-GB"/>
              </w:rPr>
              <w:t>Auditors’ remuneration:</w:t>
            </w:r>
          </w:p>
        </w:tc>
        <w:tc>
          <w:tcPr>
            <w:tcW w:w="1490" w:type="dxa"/>
          </w:tcPr>
          <w:p w14:paraId="62F4312D" w14:textId="77777777" w:rsidR="00B66CD6" w:rsidRPr="00DE426B" w:rsidRDefault="00B66CD6" w:rsidP="00DE426B">
            <w:pPr>
              <w:pStyle w:val="NoSpacing"/>
              <w:jc w:val="right"/>
              <w:rPr>
                <w:rFonts w:asciiTheme="minorHAnsi" w:hAnsiTheme="minorHAnsi"/>
                <w:sz w:val="18"/>
                <w:szCs w:val="18"/>
              </w:rPr>
            </w:pPr>
          </w:p>
        </w:tc>
        <w:tc>
          <w:tcPr>
            <w:tcW w:w="1443" w:type="dxa"/>
          </w:tcPr>
          <w:p w14:paraId="4D0F8974" w14:textId="77777777" w:rsidR="00B66CD6" w:rsidRPr="00DE426B" w:rsidRDefault="00B66CD6" w:rsidP="00DE426B">
            <w:pPr>
              <w:pStyle w:val="NoSpacing"/>
              <w:jc w:val="right"/>
              <w:rPr>
                <w:rFonts w:asciiTheme="minorHAnsi" w:hAnsiTheme="minorHAnsi"/>
                <w:sz w:val="18"/>
                <w:szCs w:val="18"/>
              </w:rPr>
            </w:pPr>
          </w:p>
        </w:tc>
      </w:tr>
      <w:tr w:rsidR="003F10B3" w:rsidRPr="00DE426B" w14:paraId="72DED60E" w14:textId="77777777" w:rsidTr="00B66CD6">
        <w:trPr>
          <w:trHeight w:val="712"/>
        </w:trPr>
        <w:tc>
          <w:tcPr>
            <w:tcW w:w="6165" w:type="dxa"/>
          </w:tcPr>
          <w:p w14:paraId="208FA2A5" w14:textId="77777777" w:rsidR="003F10B3" w:rsidRPr="00DE426B" w:rsidRDefault="003F10B3" w:rsidP="003F10B3">
            <w:pPr>
              <w:rPr>
                <w:rFonts w:cs="Arial"/>
                <w:sz w:val="18"/>
                <w:szCs w:val="18"/>
                <w:lang w:eastAsia="en-GB"/>
              </w:rPr>
            </w:pPr>
            <w:r w:rsidRPr="00DE426B">
              <w:rPr>
                <w:rFonts w:cs="Arial"/>
                <w:sz w:val="18"/>
                <w:szCs w:val="18"/>
                <w:lang w:eastAsia="en-GB"/>
              </w:rPr>
              <w:t>Fees payable to the Company’s auditor for the audit of the Company’s annual accounts</w:t>
            </w:r>
          </w:p>
        </w:tc>
        <w:tc>
          <w:tcPr>
            <w:tcW w:w="1490" w:type="dxa"/>
          </w:tcPr>
          <w:p w14:paraId="415F57AD" w14:textId="77777777" w:rsidR="008532C2" w:rsidRDefault="008532C2" w:rsidP="003F10B3">
            <w:pPr>
              <w:pStyle w:val="NoSpacing"/>
              <w:jc w:val="right"/>
              <w:rPr>
                <w:rFonts w:asciiTheme="minorHAnsi" w:hAnsiTheme="minorHAnsi"/>
                <w:sz w:val="18"/>
                <w:szCs w:val="18"/>
              </w:rPr>
            </w:pPr>
          </w:p>
          <w:p w14:paraId="01B3697C" w14:textId="7A594C28" w:rsidR="008532C2" w:rsidRPr="00DE426B" w:rsidRDefault="00554E67" w:rsidP="003F10B3">
            <w:pPr>
              <w:pStyle w:val="NoSpacing"/>
              <w:jc w:val="right"/>
              <w:rPr>
                <w:rFonts w:asciiTheme="minorHAnsi" w:hAnsiTheme="minorHAnsi"/>
                <w:sz w:val="18"/>
                <w:szCs w:val="18"/>
              </w:rPr>
            </w:pPr>
            <w:r>
              <w:rPr>
                <w:rFonts w:asciiTheme="minorHAnsi" w:hAnsiTheme="minorHAnsi"/>
                <w:sz w:val="18"/>
                <w:szCs w:val="18"/>
              </w:rPr>
              <w:t>32,403</w:t>
            </w:r>
          </w:p>
          <w:p w14:paraId="5AE26128" w14:textId="77777777" w:rsidR="003F10B3" w:rsidRPr="00DE426B" w:rsidDel="00E51133" w:rsidRDefault="003F10B3" w:rsidP="003F10B3">
            <w:pPr>
              <w:pStyle w:val="NoSpacing"/>
              <w:jc w:val="right"/>
              <w:rPr>
                <w:rFonts w:asciiTheme="minorHAnsi" w:hAnsiTheme="minorHAnsi"/>
                <w:sz w:val="18"/>
                <w:szCs w:val="18"/>
              </w:rPr>
            </w:pPr>
          </w:p>
        </w:tc>
        <w:tc>
          <w:tcPr>
            <w:tcW w:w="1443" w:type="dxa"/>
          </w:tcPr>
          <w:p w14:paraId="39B634B1" w14:textId="77777777" w:rsidR="003F10B3" w:rsidRPr="00DE426B" w:rsidRDefault="003F10B3" w:rsidP="003F10B3">
            <w:pPr>
              <w:pStyle w:val="NoSpacing"/>
              <w:jc w:val="right"/>
              <w:rPr>
                <w:rFonts w:asciiTheme="minorHAnsi" w:hAnsiTheme="minorHAnsi"/>
                <w:sz w:val="18"/>
                <w:szCs w:val="18"/>
              </w:rPr>
            </w:pPr>
          </w:p>
          <w:p w14:paraId="1E105021" w14:textId="77777777" w:rsidR="003F10B3" w:rsidRPr="00DE426B" w:rsidDel="00E51133" w:rsidRDefault="003F10B3" w:rsidP="003F10B3">
            <w:pPr>
              <w:pStyle w:val="NoSpacing"/>
              <w:jc w:val="right"/>
              <w:rPr>
                <w:rFonts w:asciiTheme="minorHAnsi" w:hAnsiTheme="minorHAnsi"/>
                <w:sz w:val="18"/>
                <w:szCs w:val="18"/>
              </w:rPr>
            </w:pPr>
            <w:r>
              <w:rPr>
                <w:rFonts w:asciiTheme="minorHAnsi" w:hAnsiTheme="minorHAnsi"/>
                <w:sz w:val="18"/>
                <w:szCs w:val="18"/>
              </w:rPr>
              <w:t>18,300</w:t>
            </w:r>
          </w:p>
        </w:tc>
      </w:tr>
    </w:tbl>
    <w:p w14:paraId="3CE8EBC7" w14:textId="77777777" w:rsidR="00DE426B" w:rsidRDefault="00DE426B" w:rsidP="00DE426B">
      <w:pPr>
        <w:spacing w:after="0"/>
        <w:ind w:left="426"/>
        <w:rPr>
          <w:rFonts w:ascii="Times New Roman" w:hAnsi="Times New Roman"/>
        </w:rPr>
      </w:pPr>
    </w:p>
    <w:p w14:paraId="4EAA1579" w14:textId="77777777" w:rsidR="00DE426B" w:rsidRPr="00DE426B" w:rsidRDefault="00DE426B" w:rsidP="00DE426B">
      <w:pPr>
        <w:widowControl/>
        <w:numPr>
          <w:ilvl w:val="0"/>
          <w:numId w:val="20"/>
        </w:numPr>
        <w:spacing w:before="0" w:after="0"/>
        <w:ind w:left="426"/>
        <w:contextualSpacing/>
        <w:jc w:val="left"/>
        <w:rPr>
          <w:rFonts w:cs="Arial"/>
          <w:b/>
          <w:sz w:val="18"/>
          <w:szCs w:val="18"/>
          <w:lang w:eastAsia="en-GB"/>
        </w:rPr>
      </w:pPr>
      <w:r w:rsidRPr="00DE426B">
        <w:rPr>
          <w:rFonts w:cs="Arial"/>
          <w:b/>
          <w:sz w:val="18"/>
          <w:szCs w:val="18"/>
          <w:lang w:eastAsia="en-GB"/>
        </w:rPr>
        <w:t xml:space="preserve">INCOME TAX EXPENSE </w:t>
      </w:r>
    </w:p>
    <w:p w14:paraId="6E06972D" w14:textId="77777777" w:rsidR="00DE426B" w:rsidRDefault="00DE426B" w:rsidP="00DE426B">
      <w:pPr>
        <w:spacing w:after="0"/>
        <w:ind w:left="426"/>
        <w:rPr>
          <w:rFonts w:ascii="Times New Roman" w:hAnsi="Times New Roman"/>
        </w:rPr>
      </w:pPr>
    </w:p>
    <w:p w14:paraId="0DE2797C" w14:textId="77777777" w:rsidR="00DE426B" w:rsidRPr="00DE426B" w:rsidRDefault="00DE426B" w:rsidP="00DE426B">
      <w:pPr>
        <w:spacing w:after="0"/>
        <w:ind w:left="426"/>
        <w:rPr>
          <w:rFonts w:cs="Arial"/>
          <w:sz w:val="18"/>
          <w:szCs w:val="18"/>
          <w:lang w:eastAsia="en-GB"/>
        </w:rPr>
      </w:pPr>
      <w:r w:rsidRPr="00DE426B">
        <w:rPr>
          <w:rFonts w:cs="Arial"/>
          <w:sz w:val="18"/>
          <w:szCs w:val="18"/>
          <w:lang w:eastAsia="en-GB"/>
        </w:rPr>
        <w:t xml:space="preserve">The corporation tax in the UK applied during the year was </w:t>
      </w:r>
      <w:r w:rsidR="00885F56">
        <w:rPr>
          <w:rFonts w:cs="Arial"/>
          <w:sz w:val="18"/>
          <w:szCs w:val="18"/>
          <w:lang w:eastAsia="en-GB"/>
        </w:rPr>
        <w:t>19</w:t>
      </w:r>
      <w:r w:rsidRPr="00DE426B">
        <w:rPr>
          <w:rFonts w:cs="Arial"/>
          <w:sz w:val="18"/>
          <w:szCs w:val="18"/>
          <w:lang w:eastAsia="en-GB"/>
        </w:rPr>
        <w:t>%.</w:t>
      </w:r>
    </w:p>
    <w:p w14:paraId="445B3F52" w14:textId="77777777" w:rsidR="00DE426B" w:rsidRPr="00DE426B" w:rsidRDefault="00DE426B" w:rsidP="00DE426B">
      <w:pPr>
        <w:spacing w:after="0"/>
        <w:ind w:left="426"/>
        <w:rPr>
          <w:rFonts w:cs="Arial"/>
          <w:sz w:val="18"/>
          <w:szCs w:val="18"/>
          <w:lang w:eastAsia="en-GB"/>
        </w:rPr>
      </w:pPr>
    </w:p>
    <w:p w14:paraId="7B990C3F" w14:textId="77777777" w:rsidR="00DE426B" w:rsidRPr="00DE426B" w:rsidRDefault="00DE426B" w:rsidP="00DE426B">
      <w:pPr>
        <w:spacing w:after="0"/>
        <w:ind w:left="426"/>
        <w:rPr>
          <w:rFonts w:cs="Arial"/>
          <w:sz w:val="18"/>
          <w:szCs w:val="18"/>
          <w:lang w:eastAsia="en-GB"/>
        </w:rPr>
      </w:pPr>
      <w:r w:rsidRPr="00DE426B">
        <w:rPr>
          <w:rFonts w:cs="Arial"/>
          <w:sz w:val="18"/>
          <w:szCs w:val="18"/>
          <w:lang w:eastAsia="en-GB"/>
        </w:rPr>
        <w:t>The charge for the period can be reconciled to the loss in the Statement of Comprehensive income as follow:</w:t>
      </w: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354"/>
        <w:gridCol w:w="1265"/>
      </w:tblGrid>
      <w:tr w:rsidR="00DE426B" w:rsidRPr="00DE426B" w14:paraId="6681A0EB" w14:textId="77777777" w:rsidTr="00DE426B">
        <w:tc>
          <w:tcPr>
            <w:tcW w:w="6415" w:type="dxa"/>
          </w:tcPr>
          <w:p w14:paraId="3977B676" w14:textId="77777777" w:rsidR="00DE426B" w:rsidRPr="00DE426B" w:rsidRDefault="00DE426B" w:rsidP="00DE426B">
            <w:pPr>
              <w:rPr>
                <w:rFonts w:cs="Arial"/>
                <w:sz w:val="18"/>
                <w:szCs w:val="18"/>
                <w:lang w:eastAsia="en-GB"/>
              </w:rPr>
            </w:pPr>
          </w:p>
        </w:tc>
        <w:tc>
          <w:tcPr>
            <w:tcW w:w="1354" w:type="dxa"/>
          </w:tcPr>
          <w:p w14:paraId="409FA429" w14:textId="77777777" w:rsidR="00DE426B" w:rsidRDefault="00DE426B" w:rsidP="00DE426B">
            <w:pPr>
              <w:jc w:val="right"/>
              <w:rPr>
                <w:rFonts w:cs="Arial"/>
                <w:sz w:val="18"/>
                <w:szCs w:val="18"/>
                <w:lang w:eastAsia="en-GB"/>
              </w:rPr>
            </w:pPr>
            <w:r>
              <w:rPr>
                <w:rFonts w:cs="Arial"/>
                <w:sz w:val="18"/>
                <w:szCs w:val="18"/>
                <w:lang w:eastAsia="en-GB"/>
              </w:rPr>
              <w:t>20</w:t>
            </w:r>
            <w:r w:rsidR="00632F76">
              <w:rPr>
                <w:rFonts w:cs="Arial"/>
                <w:sz w:val="18"/>
                <w:szCs w:val="18"/>
                <w:lang w:eastAsia="en-GB"/>
              </w:rPr>
              <w:t>2</w:t>
            </w:r>
            <w:r w:rsidR="003F10B3">
              <w:rPr>
                <w:rFonts w:cs="Arial"/>
                <w:sz w:val="18"/>
                <w:szCs w:val="18"/>
                <w:lang w:eastAsia="en-GB"/>
              </w:rPr>
              <w:t>3</w:t>
            </w:r>
            <w:r>
              <w:rPr>
                <w:rFonts w:cs="Arial"/>
                <w:sz w:val="18"/>
                <w:szCs w:val="18"/>
                <w:lang w:eastAsia="en-GB"/>
              </w:rPr>
              <w:t xml:space="preserve"> </w:t>
            </w:r>
          </w:p>
          <w:p w14:paraId="476983D3" w14:textId="77777777" w:rsidR="00DE426B" w:rsidRPr="00DE426B" w:rsidRDefault="00DE426B" w:rsidP="00DE426B">
            <w:pPr>
              <w:jc w:val="right"/>
              <w:rPr>
                <w:rFonts w:cs="Arial"/>
                <w:sz w:val="18"/>
                <w:szCs w:val="18"/>
                <w:lang w:eastAsia="en-GB"/>
              </w:rPr>
            </w:pPr>
            <w:r w:rsidRPr="00DE426B">
              <w:rPr>
                <w:rFonts w:cs="Arial"/>
                <w:sz w:val="18"/>
                <w:szCs w:val="18"/>
                <w:lang w:eastAsia="en-GB"/>
              </w:rPr>
              <w:t>£</w:t>
            </w:r>
          </w:p>
        </w:tc>
        <w:tc>
          <w:tcPr>
            <w:tcW w:w="1265" w:type="dxa"/>
          </w:tcPr>
          <w:p w14:paraId="35F301B5" w14:textId="77777777" w:rsidR="00DE426B" w:rsidRDefault="00DE426B" w:rsidP="00DE426B">
            <w:pPr>
              <w:jc w:val="right"/>
              <w:rPr>
                <w:rFonts w:cs="Arial"/>
                <w:sz w:val="18"/>
                <w:szCs w:val="18"/>
                <w:lang w:eastAsia="en-GB"/>
              </w:rPr>
            </w:pPr>
            <w:r>
              <w:rPr>
                <w:rFonts w:cs="Arial"/>
                <w:sz w:val="18"/>
                <w:szCs w:val="18"/>
                <w:lang w:eastAsia="en-GB"/>
              </w:rPr>
              <w:t>20</w:t>
            </w:r>
            <w:r w:rsidR="005F3E72">
              <w:rPr>
                <w:rFonts w:cs="Arial"/>
                <w:sz w:val="18"/>
                <w:szCs w:val="18"/>
                <w:lang w:eastAsia="en-GB"/>
              </w:rPr>
              <w:t>2</w:t>
            </w:r>
            <w:r w:rsidR="003F10B3">
              <w:rPr>
                <w:rFonts w:cs="Arial"/>
                <w:sz w:val="18"/>
                <w:szCs w:val="18"/>
                <w:lang w:eastAsia="en-GB"/>
              </w:rPr>
              <w:t>2</w:t>
            </w:r>
          </w:p>
          <w:p w14:paraId="46953E3E" w14:textId="77777777" w:rsidR="00DE426B" w:rsidRPr="00DE426B" w:rsidRDefault="00DE426B" w:rsidP="00DE426B">
            <w:pPr>
              <w:jc w:val="right"/>
              <w:rPr>
                <w:rFonts w:cs="Arial"/>
                <w:sz w:val="18"/>
                <w:szCs w:val="18"/>
                <w:lang w:eastAsia="en-GB"/>
              </w:rPr>
            </w:pPr>
            <w:r w:rsidRPr="00DE426B">
              <w:rPr>
                <w:rFonts w:cs="Arial"/>
                <w:sz w:val="18"/>
                <w:szCs w:val="18"/>
                <w:lang w:eastAsia="en-GB"/>
              </w:rPr>
              <w:t>£</w:t>
            </w:r>
          </w:p>
        </w:tc>
      </w:tr>
      <w:tr w:rsidR="003F10B3" w:rsidRPr="00DE426B" w14:paraId="6AB1CF21" w14:textId="77777777" w:rsidTr="00DE426B">
        <w:tc>
          <w:tcPr>
            <w:tcW w:w="6415" w:type="dxa"/>
          </w:tcPr>
          <w:p w14:paraId="160753C1" w14:textId="77777777" w:rsidR="003F10B3" w:rsidRPr="00DE426B" w:rsidRDefault="003F10B3" w:rsidP="003F10B3">
            <w:pPr>
              <w:rPr>
                <w:rFonts w:cs="Arial"/>
                <w:sz w:val="18"/>
                <w:szCs w:val="18"/>
                <w:lang w:eastAsia="en-GB"/>
              </w:rPr>
            </w:pPr>
            <w:r w:rsidRPr="00DE426B">
              <w:rPr>
                <w:rFonts w:cs="Arial"/>
                <w:sz w:val="18"/>
                <w:szCs w:val="18"/>
                <w:lang w:eastAsia="en-GB"/>
              </w:rPr>
              <w:t>Loss before tax on continuing operations</w:t>
            </w:r>
          </w:p>
        </w:tc>
        <w:tc>
          <w:tcPr>
            <w:tcW w:w="1354" w:type="dxa"/>
            <w:tcBorders>
              <w:bottom w:val="single" w:sz="4" w:space="0" w:color="auto"/>
            </w:tcBorders>
          </w:tcPr>
          <w:p w14:paraId="3224DAAC" w14:textId="4ECB8587" w:rsidR="003F10B3" w:rsidRPr="00DE426B" w:rsidRDefault="008532C2" w:rsidP="003F10B3">
            <w:pPr>
              <w:pStyle w:val="NoSpacing"/>
              <w:jc w:val="right"/>
              <w:rPr>
                <w:rFonts w:asciiTheme="minorHAnsi" w:hAnsiTheme="minorHAnsi"/>
                <w:sz w:val="18"/>
                <w:szCs w:val="18"/>
              </w:rPr>
            </w:pPr>
            <w:r>
              <w:rPr>
                <w:rFonts w:asciiTheme="minorHAnsi" w:hAnsiTheme="minorHAnsi"/>
                <w:sz w:val="18"/>
                <w:szCs w:val="18"/>
              </w:rPr>
              <w:t>(</w:t>
            </w:r>
            <w:r w:rsidR="00EF0AF1">
              <w:rPr>
                <w:rFonts w:asciiTheme="minorHAnsi" w:hAnsiTheme="minorHAnsi"/>
                <w:sz w:val="18"/>
                <w:szCs w:val="18"/>
              </w:rPr>
              <w:t>159,478</w:t>
            </w:r>
            <w:r>
              <w:rPr>
                <w:rFonts w:asciiTheme="minorHAnsi" w:hAnsiTheme="minorHAnsi"/>
                <w:sz w:val="18"/>
                <w:szCs w:val="18"/>
              </w:rPr>
              <w:t>)</w:t>
            </w:r>
          </w:p>
        </w:tc>
        <w:tc>
          <w:tcPr>
            <w:tcW w:w="1265" w:type="dxa"/>
            <w:tcBorders>
              <w:bottom w:val="single" w:sz="4" w:space="0" w:color="auto"/>
            </w:tcBorders>
          </w:tcPr>
          <w:p w14:paraId="4AE5BDDE" w14:textId="77777777" w:rsidR="003F10B3" w:rsidRPr="00DE426B" w:rsidRDefault="003F10B3" w:rsidP="003F10B3">
            <w:pPr>
              <w:pStyle w:val="NoSpacing"/>
              <w:jc w:val="right"/>
              <w:rPr>
                <w:rFonts w:asciiTheme="minorHAnsi" w:hAnsiTheme="minorHAnsi"/>
                <w:sz w:val="18"/>
                <w:szCs w:val="18"/>
              </w:rPr>
            </w:pPr>
            <w:r w:rsidRPr="00DE426B">
              <w:rPr>
                <w:rFonts w:asciiTheme="minorHAnsi" w:hAnsiTheme="minorHAnsi"/>
                <w:sz w:val="18"/>
                <w:szCs w:val="18"/>
              </w:rPr>
              <w:t>(</w:t>
            </w:r>
            <w:r>
              <w:rPr>
                <w:rFonts w:asciiTheme="minorHAnsi" w:hAnsiTheme="minorHAnsi"/>
                <w:sz w:val="18"/>
                <w:szCs w:val="18"/>
              </w:rPr>
              <w:t>172,760</w:t>
            </w:r>
            <w:r w:rsidRPr="00DE426B">
              <w:rPr>
                <w:rFonts w:asciiTheme="minorHAnsi" w:hAnsiTheme="minorHAnsi"/>
                <w:sz w:val="18"/>
                <w:szCs w:val="18"/>
              </w:rPr>
              <w:t>)</w:t>
            </w:r>
          </w:p>
        </w:tc>
      </w:tr>
      <w:tr w:rsidR="003F10B3" w:rsidRPr="00DE426B" w14:paraId="22D403D2" w14:textId="77777777" w:rsidTr="00DE426B">
        <w:tc>
          <w:tcPr>
            <w:tcW w:w="6415" w:type="dxa"/>
          </w:tcPr>
          <w:p w14:paraId="42640AE4" w14:textId="77777777" w:rsidR="003F10B3" w:rsidRPr="00DE426B" w:rsidRDefault="003F10B3" w:rsidP="003F10B3">
            <w:pPr>
              <w:rPr>
                <w:rFonts w:cs="Arial"/>
                <w:sz w:val="18"/>
                <w:szCs w:val="18"/>
                <w:lang w:eastAsia="en-GB"/>
              </w:rPr>
            </w:pPr>
            <w:r w:rsidRPr="00DE426B">
              <w:rPr>
                <w:rFonts w:cs="Arial"/>
                <w:sz w:val="18"/>
                <w:szCs w:val="18"/>
                <w:lang w:eastAsia="en-GB"/>
              </w:rPr>
              <w:t>Tax at t</w:t>
            </w:r>
            <w:r>
              <w:rPr>
                <w:rFonts w:cs="Arial"/>
                <w:sz w:val="18"/>
                <w:szCs w:val="18"/>
                <w:lang w:eastAsia="en-GB"/>
              </w:rPr>
              <w:t>he UK corporation tax rate of 19</w:t>
            </w:r>
            <w:r w:rsidRPr="00DE426B">
              <w:rPr>
                <w:rFonts w:cs="Arial"/>
                <w:sz w:val="18"/>
                <w:szCs w:val="18"/>
                <w:lang w:eastAsia="en-GB"/>
              </w:rPr>
              <w:t>%</w:t>
            </w:r>
          </w:p>
        </w:tc>
        <w:tc>
          <w:tcPr>
            <w:tcW w:w="1354" w:type="dxa"/>
          </w:tcPr>
          <w:p w14:paraId="1302A7DE" w14:textId="77777777" w:rsidR="008532C2" w:rsidRDefault="008532C2" w:rsidP="003F10B3">
            <w:pPr>
              <w:pStyle w:val="NoSpacing"/>
              <w:jc w:val="right"/>
              <w:rPr>
                <w:rFonts w:asciiTheme="minorHAnsi" w:hAnsiTheme="minorHAnsi"/>
                <w:sz w:val="18"/>
                <w:szCs w:val="18"/>
              </w:rPr>
            </w:pPr>
          </w:p>
          <w:p w14:paraId="67EEBDB9" w14:textId="70CE7491" w:rsidR="008532C2" w:rsidRDefault="008532C2" w:rsidP="003F10B3">
            <w:pPr>
              <w:pStyle w:val="NoSpacing"/>
              <w:jc w:val="right"/>
              <w:rPr>
                <w:rFonts w:asciiTheme="minorHAnsi" w:hAnsiTheme="minorHAnsi"/>
                <w:sz w:val="18"/>
                <w:szCs w:val="18"/>
              </w:rPr>
            </w:pPr>
            <w:r>
              <w:rPr>
                <w:rFonts w:asciiTheme="minorHAnsi" w:hAnsiTheme="minorHAnsi"/>
                <w:sz w:val="18"/>
                <w:szCs w:val="18"/>
              </w:rPr>
              <w:t>(</w:t>
            </w:r>
            <w:r w:rsidR="00EF0AF1">
              <w:rPr>
                <w:rFonts w:asciiTheme="minorHAnsi" w:hAnsiTheme="minorHAnsi"/>
                <w:sz w:val="18"/>
                <w:szCs w:val="18"/>
              </w:rPr>
              <w:t>30,301</w:t>
            </w:r>
            <w:r>
              <w:rPr>
                <w:rFonts w:asciiTheme="minorHAnsi" w:hAnsiTheme="minorHAnsi"/>
                <w:sz w:val="18"/>
                <w:szCs w:val="18"/>
              </w:rPr>
              <w:t>)</w:t>
            </w:r>
          </w:p>
          <w:p w14:paraId="4CF14663" w14:textId="77777777" w:rsidR="003F10B3" w:rsidRPr="00DE426B" w:rsidRDefault="003F10B3" w:rsidP="003F10B3">
            <w:pPr>
              <w:pStyle w:val="NoSpacing"/>
              <w:jc w:val="right"/>
              <w:rPr>
                <w:rFonts w:asciiTheme="minorHAnsi" w:hAnsiTheme="minorHAnsi"/>
                <w:sz w:val="18"/>
                <w:szCs w:val="18"/>
              </w:rPr>
            </w:pPr>
          </w:p>
        </w:tc>
        <w:tc>
          <w:tcPr>
            <w:tcW w:w="1265" w:type="dxa"/>
          </w:tcPr>
          <w:p w14:paraId="5F26182F" w14:textId="77777777" w:rsidR="003F10B3" w:rsidRDefault="003F10B3" w:rsidP="003F10B3">
            <w:pPr>
              <w:pStyle w:val="NoSpacing"/>
              <w:jc w:val="right"/>
              <w:rPr>
                <w:rFonts w:asciiTheme="minorHAnsi" w:hAnsiTheme="minorHAnsi"/>
                <w:sz w:val="18"/>
                <w:szCs w:val="18"/>
              </w:rPr>
            </w:pPr>
          </w:p>
          <w:p w14:paraId="537AA335" w14:textId="77777777" w:rsidR="003F10B3" w:rsidRPr="00DE426B" w:rsidRDefault="003F10B3" w:rsidP="003F10B3">
            <w:pPr>
              <w:pStyle w:val="NoSpacing"/>
              <w:jc w:val="right"/>
              <w:rPr>
                <w:rFonts w:asciiTheme="minorHAnsi" w:hAnsiTheme="minorHAnsi"/>
                <w:sz w:val="18"/>
                <w:szCs w:val="18"/>
              </w:rPr>
            </w:pPr>
            <w:r w:rsidRPr="00DE426B">
              <w:rPr>
                <w:rFonts w:asciiTheme="minorHAnsi" w:hAnsiTheme="minorHAnsi"/>
                <w:sz w:val="18"/>
                <w:szCs w:val="18"/>
              </w:rPr>
              <w:t>(</w:t>
            </w:r>
            <w:r>
              <w:rPr>
                <w:rFonts w:asciiTheme="minorHAnsi" w:hAnsiTheme="minorHAnsi"/>
                <w:sz w:val="18"/>
                <w:szCs w:val="18"/>
              </w:rPr>
              <w:t>32,824</w:t>
            </w:r>
            <w:r w:rsidRPr="00DE426B">
              <w:rPr>
                <w:rFonts w:asciiTheme="minorHAnsi" w:hAnsiTheme="minorHAnsi"/>
                <w:sz w:val="18"/>
                <w:szCs w:val="18"/>
              </w:rPr>
              <w:t>)</w:t>
            </w:r>
          </w:p>
        </w:tc>
      </w:tr>
      <w:tr w:rsidR="003F10B3" w:rsidRPr="00DE426B" w14:paraId="4AA8F954" w14:textId="77777777" w:rsidTr="00DE426B">
        <w:tc>
          <w:tcPr>
            <w:tcW w:w="6415" w:type="dxa"/>
          </w:tcPr>
          <w:p w14:paraId="3AA3416B" w14:textId="77777777" w:rsidR="00187646" w:rsidRDefault="00187646" w:rsidP="003F10B3">
            <w:pPr>
              <w:rPr>
                <w:rFonts w:cs="Arial"/>
                <w:sz w:val="18"/>
                <w:szCs w:val="18"/>
                <w:lang w:eastAsia="en-GB"/>
              </w:rPr>
            </w:pPr>
          </w:p>
          <w:p w14:paraId="24116D34" w14:textId="77777777" w:rsidR="003F10B3" w:rsidRPr="00DE426B" w:rsidRDefault="003F10B3" w:rsidP="003F10B3">
            <w:pPr>
              <w:rPr>
                <w:rFonts w:cs="Arial"/>
                <w:sz w:val="18"/>
                <w:szCs w:val="18"/>
                <w:lang w:eastAsia="en-GB"/>
              </w:rPr>
            </w:pPr>
            <w:r w:rsidRPr="00DE426B">
              <w:rPr>
                <w:rFonts w:cs="Arial"/>
                <w:sz w:val="18"/>
                <w:szCs w:val="18"/>
                <w:lang w:eastAsia="en-GB"/>
              </w:rPr>
              <w:t xml:space="preserve">Unutilised tax loss </w:t>
            </w:r>
            <w:proofErr w:type="gramStart"/>
            <w:r w:rsidRPr="00DE426B">
              <w:rPr>
                <w:rFonts w:cs="Arial"/>
                <w:sz w:val="18"/>
                <w:szCs w:val="18"/>
                <w:lang w:eastAsia="en-GB"/>
              </w:rPr>
              <w:t>carry</w:t>
            </w:r>
            <w:proofErr w:type="gramEnd"/>
            <w:r w:rsidRPr="00DE426B">
              <w:rPr>
                <w:rFonts w:cs="Arial"/>
                <w:sz w:val="18"/>
                <w:szCs w:val="18"/>
                <w:lang w:eastAsia="en-GB"/>
              </w:rPr>
              <w:t xml:space="preserve"> forward </w:t>
            </w:r>
          </w:p>
        </w:tc>
        <w:tc>
          <w:tcPr>
            <w:tcW w:w="1354" w:type="dxa"/>
            <w:tcBorders>
              <w:bottom w:val="single" w:sz="4" w:space="0" w:color="auto"/>
            </w:tcBorders>
          </w:tcPr>
          <w:p w14:paraId="4B973ABB" w14:textId="77777777" w:rsidR="008532C2" w:rsidRDefault="008532C2" w:rsidP="003F10B3">
            <w:pPr>
              <w:pStyle w:val="NoSpacing"/>
              <w:jc w:val="right"/>
              <w:rPr>
                <w:rFonts w:asciiTheme="minorHAnsi" w:hAnsiTheme="minorHAnsi"/>
                <w:sz w:val="18"/>
                <w:szCs w:val="18"/>
              </w:rPr>
            </w:pPr>
          </w:p>
          <w:p w14:paraId="03B505C8" w14:textId="77777777" w:rsidR="00187646" w:rsidRDefault="00187646" w:rsidP="003F10B3">
            <w:pPr>
              <w:pStyle w:val="NoSpacing"/>
              <w:jc w:val="right"/>
              <w:rPr>
                <w:rFonts w:asciiTheme="minorHAnsi" w:hAnsiTheme="minorHAnsi"/>
                <w:sz w:val="18"/>
                <w:szCs w:val="18"/>
              </w:rPr>
            </w:pPr>
          </w:p>
          <w:p w14:paraId="52AB8812" w14:textId="3B5AC76D" w:rsidR="008532C2" w:rsidRDefault="00EF0AF1" w:rsidP="003F10B3">
            <w:pPr>
              <w:pStyle w:val="NoSpacing"/>
              <w:jc w:val="right"/>
              <w:rPr>
                <w:rFonts w:asciiTheme="minorHAnsi" w:hAnsiTheme="minorHAnsi"/>
                <w:sz w:val="18"/>
                <w:szCs w:val="18"/>
              </w:rPr>
            </w:pPr>
            <w:r>
              <w:rPr>
                <w:rFonts w:asciiTheme="minorHAnsi" w:hAnsiTheme="minorHAnsi"/>
                <w:sz w:val="18"/>
                <w:szCs w:val="18"/>
              </w:rPr>
              <w:t>30,301</w:t>
            </w:r>
          </w:p>
          <w:p w14:paraId="19900025" w14:textId="77777777" w:rsidR="003F10B3" w:rsidRPr="00DE426B" w:rsidRDefault="003F10B3" w:rsidP="003F10B3">
            <w:pPr>
              <w:pStyle w:val="NoSpacing"/>
              <w:jc w:val="center"/>
              <w:rPr>
                <w:rFonts w:asciiTheme="minorHAnsi" w:hAnsiTheme="minorHAnsi"/>
                <w:sz w:val="18"/>
                <w:szCs w:val="18"/>
              </w:rPr>
            </w:pPr>
          </w:p>
        </w:tc>
        <w:tc>
          <w:tcPr>
            <w:tcW w:w="1265" w:type="dxa"/>
            <w:tcBorders>
              <w:bottom w:val="single" w:sz="4" w:space="0" w:color="auto"/>
            </w:tcBorders>
          </w:tcPr>
          <w:p w14:paraId="44624A9B" w14:textId="77777777" w:rsidR="003F10B3" w:rsidRDefault="003F10B3" w:rsidP="003F10B3">
            <w:pPr>
              <w:pStyle w:val="NoSpacing"/>
              <w:jc w:val="right"/>
              <w:rPr>
                <w:rFonts w:asciiTheme="minorHAnsi" w:hAnsiTheme="minorHAnsi"/>
                <w:sz w:val="18"/>
                <w:szCs w:val="18"/>
              </w:rPr>
            </w:pPr>
          </w:p>
          <w:p w14:paraId="09D4FADF" w14:textId="77777777" w:rsidR="003F10B3" w:rsidRPr="00DE426B" w:rsidRDefault="003F10B3" w:rsidP="003F10B3">
            <w:pPr>
              <w:pStyle w:val="NoSpacing"/>
              <w:jc w:val="center"/>
              <w:rPr>
                <w:rFonts w:asciiTheme="minorHAnsi" w:hAnsiTheme="minorHAnsi"/>
                <w:sz w:val="18"/>
                <w:szCs w:val="18"/>
              </w:rPr>
            </w:pPr>
            <w:r>
              <w:rPr>
                <w:rFonts w:asciiTheme="minorHAnsi" w:hAnsiTheme="minorHAnsi"/>
                <w:sz w:val="18"/>
                <w:szCs w:val="18"/>
              </w:rPr>
              <w:t xml:space="preserve">                     32,824</w:t>
            </w:r>
          </w:p>
        </w:tc>
      </w:tr>
      <w:tr w:rsidR="00DE426B" w:rsidRPr="00DE426B" w14:paraId="2146354B" w14:textId="77777777" w:rsidTr="00DE426B">
        <w:tc>
          <w:tcPr>
            <w:tcW w:w="6415" w:type="dxa"/>
          </w:tcPr>
          <w:p w14:paraId="4F71EDD2" w14:textId="77777777" w:rsidR="00DE426B" w:rsidRPr="00DE426B" w:rsidRDefault="00DE426B" w:rsidP="00DE426B">
            <w:pPr>
              <w:rPr>
                <w:rFonts w:cs="Arial"/>
                <w:sz w:val="18"/>
                <w:szCs w:val="18"/>
                <w:lang w:eastAsia="en-GB"/>
              </w:rPr>
            </w:pPr>
            <w:r w:rsidRPr="00DE426B">
              <w:rPr>
                <w:rFonts w:cs="Arial"/>
                <w:sz w:val="18"/>
                <w:szCs w:val="18"/>
                <w:lang w:eastAsia="en-GB"/>
              </w:rPr>
              <w:t>Tax charge for the period</w:t>
            </w:r>
          </w:p>
        </w:tc>
        <w:tc>
          <w:tcPr>
            <w:tcW w:w="1354" w:type="dxa"/>
            <w:tcBorders>
              <w:top w:val="single" w:sz="4" w:space="0" w:color="auto"/>
              <w:bottom w:val="single" w:sz="4" w:space="0" w:color="auto"/>
            </w:tcBorders>
          </w:tcPr>
          <w:p w14:paraId="60BD771D" w14:textId="77777777" w:rsidR="00DE426B" w:rsidRPr="00DE426B" w:rsidRDefault="00B54DE0" w:rsidP="00CB13B7">
            <w:pPr>
              <w:pStyle w:val="NoSpacing"/>
              <w:jc w:val="center"/>
              <w:rPr>
                <w:rFonts w:asciiTheme="minorHAnsi" w:hAnsiTheme="minorHAnsi"/>
                <w:sz w:val="18"/>
                <w:szCs w:val="18"/>
              </w:rPr>
            </w:pPr>
            <w:r>
              <w:rPr>
                <w:rFonts w:asciiTheme="minorHAnsi" w:hAnsiTheme="minorHAnsi"/>
                <w:sz w:val="18"/>
                <w:szCs w:val="18"/>
              </w:rPr>
              <w:t xml:space="preserve">                      </w:t>
            </w:r>
            <w:r w:rsidR="00DE426B" w:rsidRPr="00DE426B">
              <w:rPr>
                <w:rFonts w:asciiTheme="minorHAnsi" w:hAnsiTheme="minorHAnsi"/>
                <w:sz w:val="18"/>
                <w:szCs w:val="18"/>
              </w:rPr>
              <w:t>-</w:t>
            </w:r>
          </w:p>
        </w:tc>
        <w:tc>
          <w:tcPr>
            <w:tcW w:w="1265" w:type="dxa"/>
            <w:tcBorders>
              <w:top w:val="single" w:sz="4" w:space="0" w:color="auto"/>
              <w:bottom w:val="single" w:sz="4" w:space="0" w:color="auto"/>
            </w:tcBorders>
          </w:tcPr>
          <w:p w14:paraId="5F8F8DF7" w14:textId="77777777" w:rsidR="00DE426B" w:rsidRPr="00DE426B" w:rsidRDefault="00B54DE0" w:rsidP="00CB13B7">
            <w:pPr>
              <w:pStyle w:val="NoSpacing"/>
              <w:jc w:val="center"/>
              <w:rPr>
                <w:rFonts w:asciiTheme="minorHAnsi" w:hAnsiTheme="minorHAnsi"/>
                <w:sz w:val="18"/>
                <w:szCs w:val="18"/>
              </w:rPr>
            </w:pPr>
            <w:r>
              <w:rPr>
                <w:rFonts w:asciiTheme="minorHAnsi" w:hAnsiTheme="minorHAnsi"/>
                <w:sz w:val="18"/>
                <w:szCs w:val="18"/>
              </w:rPr>
              <w:t xml:space="preserve">                    </w:t>
            </w:r>
            <w:r w:rsidR="00DE426B" w:rsidRPr="00DE426B">
              <w:rPr>
                <w:rFonts w:asciiTheme="minorHAnsi" w:hAnsiTheme="minorHAnsi"/>
                <w:sz w:val="18"/>
                <w:szCs w:val="18"/>
              </w:rPr>
              <w:t>-</w:t>
            </w:r>
          </w:p>
        </w:tc>
      </w:tr>
    </w:tbl>
    <w:p w14:paraId="1D773BB1" w14:textId="75C2194C" w:rsidR="00DE426B" w:rsidRPr="00DE426B" w:rsidRDefault="00DE426B" w:rsidP="00DE426B">
      <w:pPr>
        <w:spacing w:after="0"/>
        <w:ind w:left="426"/>
        <w:rPr>
          <w:rFonts w:cs="Arial"/>
          <w:sz w:val="18"/>
          <w:szCs w:val="18"/>
          <w:lang w:eastAsia="en-GB"/>
        </w:rPr>
      </w:pPr>
      <w:r w:rsidRPr="00DE426B">
        <w:rPr>
          <w:rFonts w:cs="Arial"/>
          <w:sz w:val="18"/>
          <w:szCs w:val="18"/>
          <w:lang w:eastAsia="en-GB"/>
        </w:rPr>
        <w:lastRenderedPageBreak/>
        <w:t xml:space="preserve">The Company has accumulated tax losses </w:t>
      </w:r>
      <w:r w:rsidRPr="00D13AD0">
        <w:rPr>
          <w:rFonts w:cs="Arial"/>
          <w:sz w:val="18"/>
          <w:szCs w:val="18"/>
          <w:lang w:eastAsia="en-GB"/>
        </w:rPr>
        <w:t>of £</w:t>
      </w:r>
      <w:r w:rsidR="00EF0AF1">
        <w:rPr>
          <w:rFonts w:cs="Arial"/>
          <w:sz w:val="18"/>
          <w:szCs w:val="18"/>
          <w:lang w:eastAsia="en-GB"/>
        </w:rPr>
        <w:t>507,934</w:t>
      </w:r>
      <w:r w:rsidR="00955701">
        <w:rPr>
          <w:rFonts w:cs="Arial"/>
          <w:sz w:val="18"/>
          <w:szCs w:val="18"/>
          <w:lang w:eastAsia="en-GB"/>
        </w:rPr>
        <w:t xml:space="preserve"> (2022: £348,456)</w:t>
      </w:r>
      <w:r w:rsidRPr="00D13AD0">
        <w:rPr>
          <w:rFonts w:cs="Arial"/>
          <w:sz w:val="18"/>
          <w:szCs w:val="18"/>
          <w:lang w:eastAsia="en-GB"/>
        </w:rPr>
        <w:t>.</w:t>
      </w:r>
      <w:r w:rsidRPr="00DE426B">
        <w:rPr>
          <w:rFonts w:cs="Arial"/>
          <w:sz w:val="18"/>
          <w:szCs w:val="18"/>
          <w:lang w:eastAsia="en-GB"/>
        </w:rPr>
        <w:t xml:space="preserve"> No deferred tax asset has been recognised in respect of the losses carried forward, due to the uncertainty as to whether the Company will generate sufficient future profits in the foreseeable future to prudently justify this.</w:t>
      </w:r>
    </w:p>
    <w:p w14:paraId="0239A6AF" w14:textId="77777777" w:rsidR="000D5C60" w:rsidRDefault="000D5C60">
      <w:pPr>
        <w:widowControl/>
        <w:spacing w:before="0" w:after="0"/>
        <w:jc w:val="left"/>
        <w:rPr>
          <w:rFonts w:cs="Arial"/>
          <w:sz w:val="18"/>
          <w:szCs w:val="18"/>
          <w:lang w:val="en-US" w:eastAsia="en-GB"/>
        </w:rPr>
      </w:pPr>
    </w:p>
    <w:p w14:paraId="78BC2F95" w14:textId="77777777" w:rsidR="00744BE1" w:rsidRDefault="00744BE1" w:rsidP="00230970">
      <w:pPr>
        <w:ind w:left="426"/>
        <w:contextualSpacing/>
        <w:rPr>
          <w:rFonts w:cs="Arial"/>
          <w:sz w:val="18"/>
          <w:szCs w:val="18"/>
          <w:lang w:val="en-US" w:eastAsia="en-GB"/>
        </w:rPr>
      </w:pPr>
    </w:p>
    <w:p w14:paraId="667A672F" w14:textId="77777777" w:rsidR="00BD49E4" w:rsidRDefault="00BD49E4" w:rsidP="00CD1113">
      <w:pPr>
        <w:contextualSpacing/>
        <w:rPr>
          <w:rFonts w:cs="Arial"/>
          <w:sz w:val="18"/>
          <w:szCs w:val="18"/>
          <w:lang w:val="en-US" w:eastAsia="en-GB"/>
        </w:rPr>
      </w:pPr>
    </w:p>
    <w:p w14:paraId="00D550D1" w14:textId="77777777" w:rsidR="00524F2A" w:rsidRPr="002967B1" w:rsidRDefault="00524F2A" w:rsidP="00524F2A">
      <w:pPr>
        <w:widowControl/>
        <w:numPr>
          <w:ilvl w:val="0"/>
          <w:numId w:val="20"/>
        </w:numPr>
        <w:spacing w:before="0" w:after="0"/>
        <w:ind w:left="426"/>
        <w:contextualSpacing/>
        <w:jc w:val="left"/>
        <w:rPr>
          <w:rFonts w:cs="Arial"/>
          <w:b/>
          <w:sz w:val="18"/>
          <w:szCs w:val="18"/>
          <w:lang w:eastAsia="en-GB"/>
        </w:rPr>
      </w:pPr>
      <w:r w:rsidRPr="002967B1">
        <w:rPr>
          <w:rFonts w:cs="Arial"/>
          <w:b/>
          <w:sz w:val="18"/>
          <w:szCs w:val="18"/>
          <w:lang w:eastAsia="en-GB"/>
        </w:rPr>
        <w:t xml:space="preserve">TRADE AND OTHER </w:t>
      </w:r>
      <w:r>
        <w:rPr>
          <w:rFonts w:cs="Arial"/>
          <w:b/>
          <w:sz w:val="18"/>
          <w:szCs w:val="18"/>
          <w:lang w:eastAsia="en-GB"/>
        </w:rPr>
        <w:t>RECEIVABLES</w:t>
      </w: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1356"/>
        <w:gridCol w:w="1267"/>
      </w:tblGrid>
      <w:tr w:rsidR="00524F2A" w14:paraId="564599DF" w14:textId="77777777" w:rsidTr="00EF192A">
        <w:tc>
          <w:tcPr>
            <w:tcW w:w="6411" w:type="dxa"/>
          </w:tcPr>
          <w:p w14:paraId="128A1421" w14:textId="77777777" w:rsidR="00524F2A" w:rsidRPr="00DE426B" w:rsidRDefault="00524F2A" w:rsidP="00EF192A">
            <w:pPr>
              <w:rPr>
                <w:rFonts w:cs="Arial"/>
                <w:sz w:val="18"/>
                <w:szCs w:val="18"/>
                <w:lang w:eastAsia="en-GB"/>
              </w:rPr>
            </w:pPr>
          </w:p>
        </w:tc>
        <w:tc>
          <w:tcPr>
            <w:tcW w:w="1356" w:type="dxa"/>
          </w:tcPr>
          <w:p w14:paraId="5633044A" w14:textId="77777777" w:rsidR="00524F2A" w:rsidRDefault="00524F2A" w:rsidP="00EF192A">
            <w:pPr>
              <w:pStyle w:val="NoSpacing"/>
              <w:jc w:val="right"/>
              <w:rPr>
                <w:rFonts w:asciiTheme="minorHAnsi" w:hAnsiTheme="minorHAnsi"/>
                <w:sz w:val="18"/>
                <w:szCs w:val="18"/>
              </w:rPr>
            </w:pPr>
            <w:r>
              <w:rPr>
                <w:rFonts w:asciiTheme="minorHAnsi" w:hAnsiTheme="minorHAnsi"/>
                <w:sz w:val="18"/>
                <w:szCs w:val="18"/>
              </w:rPr>
              <w:t>202</w:t>
            </w:r>
            <w:r w:rsidR="003F10B3">
              <w:rPr>
                <w:rFonts w:asciiTheme="minorHAnsi" w:hAnsiTheme="minorHAnsi"/>
                <w:sz w:val="18"/>
                <w:szCs w:val="18"/>
              </w:rPr>
              <w:t>3</w:t>
            </w:r>
          </w:p>
          <w:p w14:paraId="7E38691A" w14:textId="77777777" w:rsidR="00524F2A" w:rsidRPr="00DE426B" w:rsidRDefault="00524F2A" w:rsidP="00EF192A">
            <w:pPr>
              <w:pStyle w:val="NoSpacing"/>
              <w:jc w:val="right"/>
              <w:rPr>
                <w:rFonts w:asciiTheme="minorHAnsi" w:hAnsiTheme="minorHAnsi"/>
                <w:sz w:val="18"/>
                <w:szCs w:val="18"/>
              </w:rPr>
            </w:pPr>
            <w:r w:rsidRPr="00DE426B">
              <w:rPr>
                <w:rFonts w:asciiTheme="minorHAnsi" w:hAnsiTheme="minorHAnsi"/>
                <w:sz w:val="18"/>
                <w:szCs w:val="18"/>
              </w:rPr>
              <w:t>£</w:t>
            </w:r>
          </w:p>
        </w:tc>
        <w:tc>
          <w:tcPr>
            <w:tcW w:w="1267" w:type="dxa"/>
          </w:tcPr>
          <w:p w14:paraId="55250746" w14:textId="77777777" w:rsidR="00524F2A" w:rsidRDefault="00524F2A" w:rsidP="00EF192A">
            <w:pPr>
              <w:pStyle w:val="NoSpacing"/>
              <w:jc w:val="right"/>
              <w:rPr>
                <w:rFonts w:asciiTheme="minorHAnsi" w:hAnsiTheme="minorHAnsi"/>
                <w:sz w:val="18"/>
                <w:szCs w:val="18"/>
              </w:rPr>
            </w:pPr>
            <w:r>
              <w:rPr>
                <w:rFonts w:asciiTheme="minorHAnsi" w:hAnsiTheme="minorHAnsi"/>
                <w:sz w:val="18"/>
                <w:szCs w:val="18"/>
              </w:rPr>
              <w:t>202</w:t>
            </w:r>
            <w:r w:rsidR="003F10B3">
              <w:rPr>
                <w:rFonts w:asciiTheme="minorHAnsi" w:hAnsiTheme="minorHAnsi"/>
                <w:sz w:val="18"/>
                <w:szCs w:val="18"/>
              </w:rPr>
              <w:t>2</w:t>
            </w:r>
          </w:p>
          <w:p w14:paraId="0894F9F3" w14:textId="77777777" w:rsidR="00524F2A" w:rsidRPr="00DE426B" w:rsidRDefault="00524F2A" w:rsidP="00EF192A">
            <w:pPr>
              <w:pStyle w:val="NoSpacing"/>
              <w:jc w:val="right"/>
              <w:rPr>
                <w:rFonts w:asciiTheme="minorHAnsi" w:hAnsiTheme="minorHAnsi"/>
                <w:sz w:val="18"/>
                <w:szCs w:val="18"/>
              </w:rPr>
            </w:pPr>
            <w:r w:rsidRPr="00DE426B">
              <w:rPr>
                <w:rFonts w:asciiTheme="minorHAnsi" w:hAnsiTheme="minorHAnsi"/>
                <w:sz w:val="18"/>
                <w:szCs w:val="18"/>
              </w:rPr>
              <w:t>£</w:t>
            </w:r>
          </w:p>
        </w:tc>
      </w:tr>
      <w:tr w:rsidR="003F10B3" w14:paraId="537CB151" w14:textId="77777777" w:rsidTr="00EF192A">
        <w:tc>
          <w:tcPr>
            <w:tcW w:w="6411" w:type="dxa"/>
          </w:tcPr>
          <w:p w14:paraId="472CDB80" w14:textId="77777777" w:rsidR="003F10B3" w:rsidRPr="00DE426B" w:rsidRDefault="003F10B3" w:rsidP="003F10B3">
            <w:pPr>
              <w:rPr>
                <w:rFonts w:cs="Arial"/>
                <w:sz w:val="18"/>
                <w:szCs w:val="18"/>
                <w:lang w:eastAsia="en-GB"/>
              </w:rPr>
            </w:pPr>
            <w:r>
              <w:rPr>
                <w:rFonts w:cs="Arial"/>
                <w:sz w:val="18"/>
                <w:szCs w:val="18"/>
                <w:lang w:eastAsia="en-GB"/>
              </w:rPr>
              <w:t>Prepayments</w:t>
            </w:r>
          </w:p>
        </w:tc>
        <w:tc>
          <w:tcPr>
            <w:tcW w:w="1356" w:type="dxa"/>
          </w:tcPr>
          <w:p w14:paraId="1EED8F06" w14:textId="32516854" w:rsidR="003F10B3" w:rsidRPr="00DE426B" w:rsidRDefault="00EF0AF1" w:rsidP="003F10B3">
            <w:pPr>
              <w:pStyle w:val="NoSpacing"/>
              <w:jc w:val="right"/>
              <w:rPr>
                <w:rFonts w:asciiTheme="minorHAnsi" w:hAnsiTheme="minorHAnsi"/>
                <w:sz w:val="18"/>
                <w:szCs w:val="18"/>
              </w:rPr>
            </w:pPr>
            <w:r>
              <w:rPr>
                <w:rFonts w:asciiTheme="minorHAnsi" w:hAnsiTheme="minorHAnsi"/>
                <w:sz w:val="18"/>
                <w:szCs w:val="18"/>
              </w:rPr>
              <w:t>22,</w:t>
            </w:r>
            <w:r w:rsidR="00E1461E">
              <w:rPr>
                <w:rFonts w:asciiTheme="minorHAnsi" w:hAnsiTheme="minorHAnsi"/>
                <w:sz w:val="18"/>
                <w:szCs w:val="18"/>
              </w:rPr>
              <w:t>281</w:t>
            </w:r>
          </w:p>
        </w:tc>
        <w:tc>
          <w:tcPr>
            <w:tcW w:w="1267" w:type="dxa"/>
          </w:tcPr>
          <w:p w14:paraId="1A94A4A3" w14:textId="77777777" w:rsidR="003F10B3" w:rsidRPr="00DE426B" w:rsidRDefault="003F10B3" w:rsidP="003F10B3">
            <w:pPr>
              <w:pStyle w:val="NoSpacing"/>
              <w:jc w:val="right"/>
              <w:rPr>
                <w:rFonts w:asciiTheme="minorHAnsi" w:hAnsiTheme="minorHAnsi"/>
                <w:sz w:val="18"/>
                <w:szCs w:val="18"/>
              </w:rPr>
            </w:pPr>
            <w:r>
              <w:rPr>
                <w:rFonts w:asciiTheme="minorHAnsi" w:hAnsiTheme="minorHAnsi"/>
                <w:sz w:val="18"/>
                <w:szCs w:val="18"/>
              </w:rPr>
              <w:t>8,269</w:t>
            </w:r>
          </w:p>
        </w:tc>
      </w:tr>
      <w:tr w:rsidR="003F10B3" w14:paraId="52312E99" w14:textId="77777777" w:rsidTr="00EF192A">
        <w:tc>
          <w:tcPr>
            <w:tcW w:w="6411" w:type="dxa"/>
          </w:tcPr>
          <w:p w14:paraId="71AB61CA" w14:textId="77777777" w:rsidR="003F10B3" w:rsidRDefault="003F10B3" w:rsidP="003F10B3">
            <w:pPr>
              <w:jc w:val="right"/>
              <w:rPr>
                <w:rFonts w:ascii="Times New Roman" w:hAnsi="Times New Roman"/>
              </w:rPr>
            </w:pPr>
          </w:p>
        </w:tc>
        <w:tc>
          <w:tcPr>
            <w:tcW w:w="1356" w:type="dxa"/>
            <w:tcBorders>
              <w:top w:val="single" w:sz="4" w:space="0" w:color="auto"/>
              <w:bottom w:val="single" w:sz="4" w:space="0" w:color="auto"/>
            </w:tcBorders>
          </w:tcPr>
          <w:p w14:paraId="56D37BC4" w14:textId="781C31C2" w:rsidR="003F10B3" w:rsidRPr="00744BE1" w:rsidRDefault="00EF0AF1" w:rsidP="003F10B3">
            <w:pPr>
              <w:jc w:val="right"/>
              <w:rPr>
                <w:rFonts w:cs="Arial"/>
                <w:sz w:val="18"/>
                <w:szCs w:val="18"/>
                <w:lang w:eastAsia="en-GB"/>
              </w:rPr>
            </w:pPr>
            <w:r>
              <w:rPr>
                <w:rFonts w:cs="Arial"/>
                <w:sz w:val="18"/>
                <w:szCs w:val="18"/>
                <w:lang w:eastAsia="en-GB"/>
              </w:rPr>
              <w:t>22,</w:t>
            </w:r>
            <w:r w:rsidR="00E1461E">
              <w:rPr>
                <w:rFonts w:cs="Arial"/>
                <w:sz w:val="18"/>
                <w:szCs w:val="18"/>
                <w:lang w:eastAsia="en-GB"/>
              </w:rPr>
              <w:t>281</w:t>
            </w:r>
          </w:p>
        </w:tc>
        <w:tc>
          <w:tcPr>
            <w:tcW w:w="1267" w:type="dxa"/>
            <w:tcBorders>
              <w:top w:val="single" w:sz="4" w:space="0" w:color="auto"/>
              <w:bottom w:val="single" w:sz="4" w:space="0" w:color="auto"/>
            </w:tcBorders>
          </w:tcPr>
          <w:p w14:paraId="0A3FF1F0" w14:textId="77777777" w:rsidR="003F10B3" w:rsidRPr="00744BE1" w:rsidRDefault="003F10B3" w:rsidP="003F10B3">
            <w:pPr>
              <w:jc w:val="right"/>
              <w:rPr>
                <w:rFonts w:cs="Arial"/>
                <w:sz w:val="18"/>
                <w:szCs w:val="18"/>
                <w:lang w:eastAsia="en-GB"/>
              </w:rPr>
            </w:pPr>
            <w:r>
              <w:rPr>
                <w:rFonts w:cs="Arial"/>
                <w:sz w:val="18"/>
                <w:szCs w:val="18"/>
                <w:lang w:eastAsia="en-GB"/>
              </w:rPr>
              <w:t>8,269</w:t>
            </w:r>
          </w:p>
        </w:tc>
      </w:tr>
    </w:tbl>
    <w:p w14:paraId="43D57614" w14:textId="77777777" w:rsidR="00524F2A" w:rsidRDefault="00524F2A" w:rsidP="00524F2A">
      <w:pPr>
        <w:widowControl/>
        <w:spacing w:before="0" w:after="0"/>
        <w:contextualSpacing/>
        <w:jc w:val="left"/>
        <w:rPr>
          <w:rFonts w:cs="Arial"/>
          <w:sz w:val="18"/>
          <w:szCs w:val="18"/>
          <w:lang w:val="en-US" w:eastAsia="en-GB"/>
        </w:rPr>
      </w:pPr>
    </w:p>
    <w:p w14:paraId="6F1FB694" w14:textId="77777777" w:rsidR="00524F2A" w:rsidRPr="007D673F" w:rsidRDefault="00524F2A" w:rsidP="00230970">
      <w:pPr>
        <w:ind w:left="426"/>
        <w:contextualSpacing/>
        <w:rPr>
          <w:rFonts w:cs="Arial"/>
          <w:sz w:val="18"/>
          <w:szCs w:val="18"/>
          <w:lang w:val="en-US" w:eastAsia="en-GB"/>
        </w:rPr>
      </w:pPr>
    </w:p>
    <w:p w14:paraId="2EAC3963" w14:textId="77777777" w:rsidR="00230970" w:rsidRPr="00524F2A" w:rsidRDefault="00744BE1" w:rsidP="00524F2A">
      <w:pPr>
        <w:widowControl/>
        <w:numPr>
          <w:ilvl w:val="0"/>
          <w:numId w:val="20"/>
        </w:numPr>
        <w:spacing w:before="0" w:after="0"/>
        <w:ind w:left="426"/>
        <w:contextualSpacing/>
        <w:jc w:val="left"/>
        <w:rPr>
          <w:rFonts w:cs="Arial"/>
          <w:b/>
          <w:sz w:val="18"/>
          <w:szCs w:val="18"/>
          <w:lang w:eastAsia="en-GB"/>
        </w:rPr>
      </w:pPr>
      <w:r w:rsidRPr="00524F2A">
        <w:rPr>
          <w:rFonts w:cs="Arial"/>
          <w:b/>
          <w:sz w:val="18"/>
          <w:szCs w:val="18"/>
          <w:lang w:eastAsia="en-GB"/>
        </w:rPr>
        <w:t>SHARE CAPITAL</w:t>
      </w:r>
    </w:p>
    <w:p w14:paraId="20225AEA" w14:textId="77777777" w:rsidR="00230970" w:rsidRPr="007D673F" w:rsidRDefault="00230970" w:rsidP="00230970">
      <w:pPr>
        <w:ind w:left="426"/>
        <w:contextualSpacing/>
        <w:rPr>
          <w:rFonts w:cs="Arial"/>
          <w:sz w:val="18"/>
          <w:szCs w:val="18"/>
          <w:lang w:eastAsia="en-GB"/>
        </w:rPr>
      </w:pPr>
    </w:p>
    <w:p w14:paraId="61069594" w14:textId="77777777" w:rsidR="00744BE1" w:rsidRPr="00744BE1" w:rsidRDefault="00744BE1" w:rsidP="00744BE1">
      <w:pPr>
        <w:ind w:left="426"/>
        <w:rPr>
          <w:rFonts w:cs="Arial"/>
          <w:b/>
          <w:sz w:val="18"/>
          <w:szCs w:val="18"/>
          <w:lang w:eastAsia="en-GB"/>
        </w:rPr>
      </w:pPr>
      <w:r w:rsidRPr="00744BE1">
        <w:rPr>
          <w:rFonts w:cs="Arial"/>
          <w:b/>
          <w:sz w:val="18"/>
          <w:szCs w:val="18"/>
          <w:lang w:eastAsia="en-GB"/>
        </w:rPr>
        <w:t>Ordinary shares of £</w:t>
      </w:r>
      <w:r>
        <w:rPr>
          <w:rFonts w:cs="Arial"/>
          <w:b/>
          <w:sz w:val="18"/>
          <w:szCs w:val="18"/>
          <w:lang w:eastAsia="en-GB"/>
        </w:rPr>
        <w:t>0.0</w:t>
      </w:r>
      <w:r w:rsidRPr="00744BE1">
        <w:rPr>
          <w:rFonts w:cs="Arial"/>
          <w:b/>
          <w:sz w:val="18"/>
          <w:szCs w:val="18"/>
          <w:lang w:eastAsia="en-GB"/>
        </w:rPr>
        <w:t>1 each</w:t>
      </w: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559"/>
        <w:gridCol w:w="1418"/>
      </w:tblGrid>
      <w:tr w:rsidR="00744BE1" w:rsidRPr="00744BE1" w14:paraId="51692BF9" w14:textId="77777777" w:rsidTr="00690B73">
        <w:trPr>
          <w:trHeight w:val="655"/>
        </w:trPr>
        <w:tc>
          <w:tcPr>
            <w:tcW w:w="6095" w:type="dxa"/>
            <w:shd w:val="clear" w:color="auto" w:fill="auto"/>
          </w:tcPr>
          <w:p w14:paraId="54A52F0C" w14:textId="77777777" w:rsidR="00744BE1" w:rsidRPr="00744BE1" w:rsidRDefault="00744BE1" w:rsidP="00744BE1">
            <w:pPr>
              <w:rPr>
                <w:rFonts w:cs="Arial"/>
                <w:sz w:val="18"/>
                <w:szCs w:val="18"/>
                <w:lang w:eastAsia="en-GB"/>
              </w:rPr>
            </w:pPr>
          </w:p>
        </w:tc>
        <w:tc>
          <w:tcPr>
            <w:tcW w:w="1559" w:type="dxa"/>
          </w:tcPr>
          <w:p w14:paraId="600AC8DB" w14:textId="77777777" w:rsidR="00744BE1" w:rsidRPr="00744BE1" w:rsidRDefault="00744BE1" w:rsidP="00744BE1">
            <w:pPr>
              <w:jc w:val="right"/>
              <w:rPr>
                <w:rFonts w:cs="Arial"/>
                <w:sz w:val="18"/>
                <w:szCs w:val="18"/>
                <w:lang w:eastAsia="en-GB"/>
              </w:rPr>
            </w:pPr>
            <w:r w:rsidRPr="00744BE1">
              <w:rPr>
                <w:rFonts w:cs="Arial"/>
                <w:sz w:val="18"/>
                <w:szCs w:val="18"/>
                <w:lang w:eastAsia="en-GB"/>
              </w:rPr>
              <w:t>Number of shares</w:t>
            </w:r>
          </w:p>
        </w:tc>
        <w:tc>
          <w:tcPr>
            <w:tcW w:w="1418" w:type="dxa"/>
            <w:shd w:val="clear" w:color="auto" w:fill="auto"/>
          </w:tcPr>
          <w:p w14:paraId="18C8702C" w14:textId="77777777" w:rsidR="00744BE1" w:rsidRPr="00744BE1" w:rsidRDefault="00744BE1" w:rsidP="00744BE1">
            <w:pPr>
              <w:jc w:val="right"/>
              <w:rPr>
                <w:rFonts w:cs="Arial"/>
                <w:sz w:val="18"/>
                <w:szCs w:val="18"/>
                <w:lang w:eastAsia="en-GB"/>
              </w:rPr>
            </w:pPr>
            <w:r w:rsidRPr="00744BE1">
              <w:rPr>
                <w:rFonts w:cs="Arial"/>
                <w:sz w:val="18"/>
                <w:szCs w:val="18"/>
                <w:lang w:eastAsia="en-GB"/>
              </w:rPr>
              <w:t>Amount</w:t>
            </w:r>
          </w:p>
          <w:p w14:paraId="5C841010" w14:textId="77777777" w:rsidR="00744BE1" w:rsidRPr="00744BE1" w:rsidRDefault="00744BE1" w:rsidP="00744BE1">
            <w:pPr>
              <w:jc w:val="right"/>
              <w:rPr>
                <w:rFonts w:cs="Arial"/>
                <w:sz w:val="18"/>
                <w:szCs w:val="18"/>
                <w:lang w:eastAsia="en-GB"/>
              </w:rPr>
            </w:pPr>
            <w:r w:rsidRPr="00744BE1">
              <w:rPr>
                <w:rFonts w:cs="Arial"/>
                <w:sz w:val="18"/>
                <w:szCs w:val="18"/>
                <w:lang w:eastAsia="en-GB"/>
              </w:rPr>
              <w:t>£</w:t>
            </w:r>
          </w:p>
        </w:tc>
      </w:tr>
      <w:tr w:rsidR="00744BE1" w:rsidRPr="00744BE1" w14:paraId="16444885" w14:textId="77777777" w:rsidTr="00690B73">
        <w:tc>
          <w:tcPr>
            <w:tcW w:w="6095" w:type="dxa"/>
            <w:shd w:val="clear" w:color="auto" w:fill="auto"/>
          </w:tcPr>
          <w:p w14:paraId="4AC8DA74" w14:textId="77777777" w:rsidR="00744BE1" w:rsidRPr="00744BE1" w:rsidRDefault="00744BE1" w:rsidP="00744BE1">
            <w:pPr>
              <w:rPr>
                <w:rFonts w:cs="Arial"/>
                <w:sz w:val="18"/>
                <w:szCs w:val="18"/>
                <w:lang w:eastAsia="en-GB"/>
              </w:rPr>
            </w:pPr>
            <w:r w:rsidRPr="00744BE1">
              <w:rPr>
                <w:rFonts w:cs="Arial"/>
                <w:sz w:val="18"/>
                <w:szCs w:val="18"/>
                <w:lang w:eastAsia="en-GB"/>
              </w:rPr>
              <w:t>Issued, called up and paid</w:t>
            </w:r>
          </w:p>
        </w:tc>
        <w:tc>
          <w:tcPr>
            <w:tcW w:w="1559" w:type="dxa"/>
          </w:tcPr>
          <w:p w14:paraId="16717CAB" w14:textId="77777777" w:rsidR="00744BE1" w:rsidRPr="00744BE1" w:rsidRDefault="00F70D8E" w:rsidP="00744BE1">
            <w:pPr>
              <w:jc w:val="right"/>
              <w:rPr>
                <w:rFonts w:cs="Arial"/>
                <w:sz w:val="18"/>
                <w:szCs w:val="18"/>
                <w:lang w:eastAsia="en-GB"/>
              </w:rPr>
            </w:pPr>
            <w:r>
              <w:rPr>
                <w:rFonts w:cs="Arial"/>
                <w:sz w:val="18"/>
                <w:szCs w:val="18"/>
                <w:lang w:eastAsia="en-GB"/>
              </w:rPr>
              <w:t>32,049,999</w:t>
            </w:r>
          </w:p>
        </w:tc>
        <w:tc>
          <w:tcPr>
            <w:tcW w:w="1418" w:type="dxa"/>
            <w:shd w:val="clear" w:color="auto" w:fill="auto"/>
          </w:tcPr>
          <w:p w14:paraId="1AC86E83" w14:textId="77777777" w:rsidR="00744BE1" w:rsidRPr="00744BE1" w:rsidRDefault="00F70D8E" w:rsidP="00744BE1">
            <w:pPr>
              <w:jc w:val="right"/>
              <w:rPr>
                <w:rFonts w:cs="Arial"/>
                <w:sz w:val="18"/>
                <w:szCs w:val="18"/>
                <w:lang w:eastAsia="en-GB"/>
              </w:rPr>
            </w:pPr>
            <w:r>
              <w:rPr>
                <w:rFonts w:cs="Arial"/>
                <w:sz w:val="18"/>
                <w:szCs w:val="18"/>
                <w:lang w:eastAsia="en-GB"/>
              </w:rPr>
              <w:t>320,500</w:t>
            </w:r>
          </w:p>
        </w:tc>
      </w:tr>
      <w:tr w:rsidR="00744BE1" w:rsidRPr="00744BE1" w14:paraId="698CD42E" w14:textId="77777777" w:rsidTr="00690B73">
        <w:trPr>
          <w:trHeight w:val="309"/>
        </w:trPr>
        <w:tc>
          <w:tcPr>
            <w:tcW w:w="6095" w:type="dxa"/>
            <w:shd w:val="clear" w:color="auto" w:fill="auto"/>
          </w:tcPr>
          <w:p w14:paraId="549EE13E" w14:textId="77777777" w:rsidR="00744BE1" w:rsidRPr="00744BE1" w:rsidRDefault="00744BE1" w:rsidP="00744BE1">
            <w:pPr>
              <w:rPr>
                <w:rFonts w:cs="Arial"/>
                <w:sz w:val="18"/>
                <w:szCs w:val="18"/>
                <w:lang w:eastAsia="en-GB"/>
              </w:rPr>
            </w:pPr>
          </w:p>
        </w:tc>
        <w:tc>
          <w:tcPr>
            <w:tcW w:w="1559" w:type="dxa"/>
            <w:tcBorders>
              <w:bottom w:val="single" w:sz="4" w:space="0" w:color="auto"/>
            </w:tcBorders>
          </w:tcPr>
          <w:p w14:paraId="6E33F9F0" w14:textId="77777777" w:rsidR="00744BE1" w:rsidRPr="00744BE1" w:rsidRDefault="00744BE1" w:rsidP="00744BE1">
            <w:pPr>
              <w:jc w:val="right"/>
              <w:rPr>
                <w:rFonts w:cs="Arial"/>
                <w:sz w:val="18"/>
                <w:szCs w:val="18"/>
                <w:lang w:eastAsia="en-GB"/>
              </w:rPr>
            </w:pPr>
          </w:p>
        </w:tc>
        <w:tc>
          <w:tcPr>
            <w:tcW w:w="1418" w:type="dxa"/>
            <w:tcBorders>
              <w:bottom w:val="single" w:sz="4" w:space="0" w:color="auto"/>
            </w:tcBorders>
            <w:shd w:val="clear" w:color="auto" w:fill="auto"/>
          </w:tcPr>
          <w:p w14:paraId="5B085409" w14:textId="77777777" w:rsidR="00744BE1" w:rsidRPr="00744BE1" w:rsidRDefault="00744BE1" w:rsidP="00744BE1">
            <w:pPr>
              <w:jc w:val="right"/>
              <w:rPr>
                <w:rFonts w:cs="Arial"/>
                <w:sz w:val="18"/>
                <w:szCs w:val="18"/>
                <w:lang w:eastAsia="en-GB"/>
              </w:rPr>
            </w:pPr>
          </w:p>
        </w:tc>
      </w:tr>
      <w:tr w:rsidR="00744BE1" w:rsidRPr="00744BE1" w14:paraId="07287BBB" w14:textId="77777777" w:rsidTr="00690B73">
        <w:tc>
          <w:tcPr>
            <w:tcW w:w="6095" w:type="dxa"/>
            <w:shd w:val="clear" w:color="auto" w:fill="auto"/>
          </w:tcPr>
          <w:p w14:paraId="5AB4CCAA" w14:textId="77777777" w:rsidR="00744BE1" w:rsidRPr="00744BE1" w:rsidRDefault="00744BE1" w:rsidP="00744BE1">
            <w:pPr>
              <w:rPr>
                <w:rFonts w:cs="Arial"/>
                <w:sz w:val="18"/>
                <w:szCs w:val="18"/>
                <w:lang w:eastAsia="en-GB"/>
              </w:rPr>
            </w:pPr>
          </w:p>
        </w:tc>
        <w:tc>
          <w:tcPr>
            <w:tcW w:w="1559" w:type="dxa"/>
            <w:tcBorders>
              <w:top w:val="single" w:sz="4" w:space="0" w:color="auto"/>
              <w:bottom w:val="single" w:sz="4" w:space="0" w:color="auto"/>
            </w:tcBorders>
          </w:tcPr>
          <w:p w14:paraId="651C7B6F" w14:textId="77777777" w:rsidR="00744BE1" w:rsidRPr="00744BE1" w:rsidRDefault="00F70D8E" w:rsidP="00744BE1">
            <w:pPr>
              <w:jc w:val="right"/>
              <w:rPr>
                <w:rFonts w:cs="Arial"/>
                <w:sz w:val="18"/>
                <w:szCs w:val="18"/>
                <w:lang w:eastAsia="en-GB"/>
              </w:rPr>
            </w:pPr>
            <w:r>
              <w:rPr>
                <w:rFonts w:cs="Arial"/>
                <w:sz w:val="18"/>
                <w:szCs w:val="18"/>
                <w:lang w:eastAsia="en-GB"/>
              </w:rPr>
              <w:t>32,049,999</w:t>
            </w:r>
          </w:p>
        </w:tc>
        <w:tc>
          <w:tcPr>
            <w:tcW w:w="1418" w:type="dxa"/>
            <w:tcBorders>
              <w:top w:val="single" w:sz="4" w:space="0" w:color="auto"/>
              <w:bottom w:val="single" w:sz="4" w:space="0" w:color="auto"/>
            </w:tcBorders>
            <w:shd w:val="clear" w:color="auto" w:fill="auto"/>
          </w:tcPr>
          <w:p w14:paraId="10B83DD3" w14:textId="77777777" w:rsidR="00744BE1" w:rsidRPr="00744BE1" w:rsidRDefault="00F70D8E" w:rsidP="00744BE1">
            <w:pPr>
              <w:jc w:val="right"/>
              <w:rPr>
                <w:rFonts w:cs="Arial"/>
                <w:sz w:val="18"/>
                <w:szCs w:val="18"/>
                <w:lang w:eastAsia="en-GB"/>
              </w:rPr>
            </w:pPr>
            <w:r>
              <w:rPr>
                <w:rFonts w:cs="Arial"/>
                <w:sz w:val="18"/>
                <w:szCs w:val="18"/>
                <w:lang w:eastAsia="en-GB"/>
              </w:rPr>
              <w:t>32</w:t>
            </w:r>
            <w:r w:rsidR="00790A0B">
              <w:rPr>
                <w:rFonts w:cs="Arial"/>
                <w:sz w:val="18"/>
                <w:szCs w:val="18"/>
                <w:lang w:eastAsia="en-GB"/>
              </w:rPr>
              <w:t>0</w:t>
            </w:r>
            <w:r>
              <w:rPr>
                <w:rFonts w:cs="Arial"/>
                <w:sz w:val="18"/>
                <w:szCs w:val="18"/>
                <w:lang w:eastAsia="en-GB"/>
              </w:rPr>
              <w:t>,500</w:t>
            </w:r>
          </w:p>
        </w:tc>
      </w:tr>
    </w:tbl>
    <w:p w14:paraId="371F71A0" w14:textId="77777777" w:rsidR="00744BE1" w:rsidRDefault="00744BE1" w:rsidP="00230970">
      <w:pPr>
        <w:ind w:left="426"/>
        <w:contextualSpacing/>
        <w:rPr>
          <w:rFonts w:cs="Arial"/>
          <w:sz w:val="18"/>
          <w:szCs w:val="18"/>
          <w:lang w:eastAsia="en-GB"/>
        </w:rPr>
      </w:pPr>
    </w:p>
    <w:p w14:paraId="4C56E5E9" w14:textId="77777777" w:rsidR="00744BE1" w:rsidRDefault="00744BE1" w:rsidP="00230970">
      <w:pPr>
        <w:ind w:left="426"/>
        <w:contextualSpacing/>
        <w:rPr>
          <w:rFonts w:cs="Arial"/>
          <w:sz w:val="18"/>
          <w:szCs w:val="18"/>
          <w:lang w:eastAsia="en-GB"/>
        </w:rPr>
      </w:pPr>
    </w:p>
    <w:p w14:paraId="3CBEECDE" w14:textId="77777777" w:rsidR="00F70D8E" w:rsidRPr="007D673F" w:rsidRDefault="00F70D8E" w:rsidP="00230970">
      <w:pPr>
        <w:ind w:left="426"/>
        <w:contextualSpacing/>
        <w:rPr>
          <w:rFonts w:cs="Arial"/>
          <w:sz w:val="18"/>
          <w:szCs w:val="18"/>
          <w:lang w:eastAsia="en-GB"/>
        </w:rPr>
      </w:pPr>
    </w:p>
    <w:p w14:paraId="0391D698" w14:textId="77777777" w:rsidR="00230970" w:rsidRDefault="00230970" w:rsidP="00230970">
      <w:pPr>
        <w:ind w:left="426"/>
        <w:contextualSpacing/>
        <w:rPr>
          <w:rFonts w:cs="Arial"/>
          <w:sz w:val="18"/>
          <w:szCs w:val="18"/>
          <w:lang w:eastAsia="en-GB"/>
        </w:rPr>
      </w:pPr>
      <w:r>
        <w:rPr>
          <w:rFonts w:cs="Arial"/>
          <w:sz w:val="18"/>
          <w:szCs w:val="18"/>
          <w:lang w:eastAsia="en-GB"/>
        </w:rPr>
        <w:t>As at 31 January 20</w:t>
      </w:r>
      <w:r w:rsidR="00885F56">
        <w:rPr>
          <w:rFonts w:cs="Arial"/>
          <w:sz w:val="18"/>
          <w:szCs w:val="18"/>
          <w:lang w:eastAsia="en-GB"/>
        </w:rPr>
        <w:t>2</w:t>
      </w:r>
      <w:r w:rsidR="008532C2">
        <w:rPr>
          <w:rFonts w:cs="Arial"/>
          <w:sz w:val="18"/>
          <w:szCs w:val="18"/>
          <w:lang w:eastAsia="en-GB"/>
        </w:rPr>
        <w:t>3 and 2022</w:t>
      </w:r>
      <w:r>
        <w:rPr>
          <w:rFonts w:cs="Arial"/>
          <w:sz w:val="18"/>
          <w:szCs w:val="18"/>
          <w:lang w:eastAsia="en-GB"/>
        </w:rPr>
        <w:t xml:space="preserve">, the Company had </w:t>
      </w:r>
      <w:r w:rsidR="00F70D8E">
        <w:rPr>
          <w:rFonts w:cs="Arial"/>
          <w:sz w:val="18"/>
          <w:szCs w:val="18"/>
          <w:lang w:eastAsia="en-GB"/>
        </w:rPr>
        <w:t>32,049,999</w:t>
      </w:r>
      <w:r>
        <w:rPr>
          <w:rFonts w:cs="Arial"/>
          <w:sz w:val="18"/>
          <w:szCs w:val="18"/>
          <w:lang w:eastAsia="en-GB"/>
        </w:rPr>
        <w:t xml:space="preserve"> ordinary shares of £0.01 par value in issue.</w:t>
      </w:r>
    </w:p>
    <w:p w14:paraId="0CE245CF" w14:textId="77777777" w:rsidR="00795A2B" w:rsidRDefault="00795A2B" w:rsidP="00230970">
      <w:pPr>
        <w:ind w:left="426"/>
        <w:contextualSpacing/>
        <w:rPr>
          <w:rFonts w:cs="Arial"/>
          <w:sz w:val="18"/>
          <w:szCs w:val="18"/>
          <w:lang w:eastAsia="en-GB"/>
        </w:rPr>
      </w:pPr>
    </w:p>
    <w:p w14:paraId="5F9CDFB4" w14:textId="77777777" w:rsidR="00795A2B" w:rsidRDefault="00552086" w:rsidP="00230970">
      <w:pPr>
        <w:ind w:left="426"/>
        <w:contextualSpacing/>
        <w:rPr>
          <w:rFonts w:cs="Arial"/>
          <w:sz w:val="18"/>
          <w:szCs w:val="18"/>
          <w:lang w:eastAsia="en-GB"/>
        </w:rPr>
      </w:pPr>
      <w:r w:rsidRPr="00167C14">
        <w:rPr>
          <w:rFonts w:cs="Arial"/>
          <w:sz w:val="18"/>
          <w:szCs w:val="18"/>
          <w:lang w:eastAsia="en-GB"/>
        </w:rPr>
        <w:t xml:space="preserve">As </w:t>
      </w:r>
      <w:proofErr w:type="gramStart"/>
      <w:r w:rsidRPr="00167C14">
        <w:rPr>
          <w:rFonts w:cs="Arial"/>
          <w:sz w:val="18"/>
          <w:szCs w:val="18"/>
          <w:lang w:eastAsia="en-GB"/>
        </w:rPr>
        <w:t>at</w:t>
      </w:r>
      <w:proofErr w:type="gramEnd"/>
      <w:r w:rsidRPr="00167C14">
        <w:rPr>
          <w:rFonts w:cs="Arial"/>
          <w:sz w:val="18"/>
          <w:szCs w:val="18"/>
          <w:lang w:eastAsia="en-GB"/>
        </w:rPr>
        <w:t xml:space="preserve"> 31 January </w:t>
      </w:r>
      <w:r w:rsidR="00167C14" w:rsidRPr="00167C14">
        <w:rPr>
          <w:rFonts w:cs="Arial"/>
          <w:sz w:val="18"/>
          <w:szCs w:val="18"/>
          <w:lang w:eastAsia="en-GB"/>
        </w:rPr>
        <w:t xml:space="preserve">2023 and </w:t>
      </w:r>
      <w:r w:rsidRPr="00167C14">
        <w:rPr>
          <w:rFonts w:cs="Arial"/>
          <w:sz w:val="18"/>
          <w:szCs w:val="18"/>
          <w:lang w:eastAsia="en-GB"/>
        </w:rPr>
        <w:t xml:space="preserve">2022, the Company had 17,166,667 warrants in issue exercisable at </w:t>
      </w:r>
      <w:r w:rsidR="003258FD" w:rsidRPr="00167C14">
        <w:rPr>
          <w:rFonts w:cs="Arial"/>
          <w:sz w:val="18"/>
          <w:szCs w:val="18"/>
          <w:lang w:eastAsia="en-GB"/>
        </w:rPr>
        <w:t xml:space="preserve">£0.04 </w:t>
      </w:r>
      <w:r w:rsidRPr="00167C14">
        <w:rPr>
          <w:rFonts w:cs="Arial"/>
          <w:sz w:val="18"/>
          <w:szCs w:val="18"/>
          <w:lang w:eastAsia="en-GB"/>
        </w:rPr>
        <w:t>per share and expiring on 6 September 202</w:t>
      </w:r>
      <w:r w:rsidR="00167C14" w:rsidRPr="00167C14">
        <w:rPr>
          <w:rFonts w:cs="Arial"/>
          <w:sz w:val="18"/>
          <w:szCs w:val="18"/>
          <w:lang w:eastAsia="en-GB"/>
        </w:rPr>
        <w:t>3.</w:t>
      </w:r>
    </w:p>
    <w:p w14:paraId="203EDD80" w14:textId="77777777" w:rsidR="00572EAA" w:rsidRDefault="00572EAA" w:rsidP="00230970">
      <w:pPr>
        <w:ind w:left="426"/>
        <w:contextualSpacing/>
        <w:rPr>
          <w:rFonts w:cs="Arial"/>
          <w:sz w:val="18"/>
          <w:szCs w:val="18"/>
          <w:lang w:eastAsia="en-GB"/>
        </w:rPr>
      </w:pPr>
    </w:p>
    <w:p w14:paraId="26C43A90" w14:textId="77777777" w:rsidR="00E922D3" w:rsidRDefault="00E922D3" w:rsidP="00230970">
      <w:pPr>
        <w:ind w:left="426"/>
        <w:contextualSpacing/>
        <w:rPr>
          <w:rFonts w:cs="Arial"/>
          <w:sz w:val="18"/>
          <w:szCs w:val="18"/>
          <w:lang w:eastAsia="en-GB"/>
        </w:rPr>
      </w:pPr>
    </w:p>
    <w:p w14:paraId="51076F97" w14:textId="77777777" w:rsidR="00E922D3" w:rsidRPr="002967B1" w:rsidRDefault="00E922D3" w:rsidP="00E922D3">
      <w:pPr>
        <w:widowControl/>
        <w:numPr>
          <w:ilvl w:val="0"/>
          <w:numId w:val="20"/>
        </w:numPr>
        <w:spacing w:before="0" w:after="0"/>
        <w:ind w:left="426"/>
        <w:contextualSpacing/>
        <w:jc w:val="left"/>
        <w:rPr>
          <w:rFonts w:cs="Arial"/>
          <w:b/>
          <w:sz w:val="18"/>
          <w:szCs w:val="18"/>
          <w:lang w:eastAsia="en-GB"/>
        </w:rPr>
      </w:pPr>
      <w:r w:rsidRPr="002967B1">
        <w:rPr>
          <w:rFonts w:cs="Arial"/>
          <w:b/>
          <w:sz w:val="18"/>
          <w:szCs w:val="18"/>
          <w:lang w:eastAsia="en-GB"/>
        </w:rPr>
        <w:t>TRADE AND OTHER PAYABLES</w:t>
      </w: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1356"/>
        <w:gridCol w:w="1267"/>
      </w:tblGrid>
      <w:tr w:rsidR="00E922D3" w14:paraId="150759EC" w14:textId="77777777" w:rsidTr="002B1EBD">
        <w:tc>
          <w:tcPr>
            <w:tcW w:w="6411" w:type="dxa"/>
          </w:tcPr>
          <w:p w14:paraId="2550E66C" w14:textId="77777777" w:rsidR="00E922D3" w:rsidRPr="00DE426B" w:rsidRDefault="00E922D3" w:rsidP="002B1EBD">
            <w:pPr>
              <w:rPr>
                <w:rFonts w:cs="Arial"/>
                <w:sz w:val="18"/>
                <w:szCs w:val="18"/>
                <w:lang w:eastAsia="en-GB"/>
              </w:rPr>
            </w:pPr>
          </w:p>
        </w:tc>
        <w:tc>
          <w:tcPr>
            <w:tcW w:w="1356" w:type="dxa"/>
          </w:tcPr>
          <w:p w14:paraId="2BA48CA9" w14:textId="77777777" w:rsidR="00E922D3" w:rsidRDefault="00E922D3" w:rsidP="002B1EBD">
            <w:pPr>
              <w:pStyle w:val="NoSpacing"/>
              <w:jc w:val="right"/>
              <w:rPr>
                <w:rFonts w:asciiTheme="minorHAnsi" w:hAnsiTheme="minorHAnsi"/>
                <w:sz w:val="18"/>
                <w:szCs w:val="18"/>
              </w:rPr>
            </w:pPr>
            <w:r>
              <w:rPr>
                <w:rFonts w:asciiTheme="minorHAnsi" w:hAnsiTheme="minorHAnsi"/>
                <w:sz w:val="18"/>
                <w:szCs w:val="18"/>
              </w:rPr>
              <w:t>202</w:t>
            </w:r>
            <w:r w:rsidR="003F10B3">
              <w:rPr>
                <w:rFonts w:asciiTheme="minorHAnsi" w:hAnsiTheme="minorHAnsi"/>
                <w:sz w:val="18"/>
                <w:szCs w:val="18"/>
              </w:rPr>
              <w:t>3</w:t>
            </w:r>
          </w:p>
          <w:p w14:paraId="62B4F78C" w14:textId="77777777" w:rsidR="00E922D3" w:rsidRPr="00DE426B" w:rsidRDefault="00E922D3" w:rsidP="002B1EBD">
            <w:pPr>
              <w:pStyle w:val="NoSpacing"/>
              <w:jc w:val="right"/>
              <w:rPr>
                <w:rFonts w:asciiTheme="minorHAnsi" w:hAnsiTheme="minorHAnsi"/>
                <w:sz w:val="18"/>
                <w:szCs w:val="18"/>
              </w:rPr>
            </w:pPr>
            <w:r w:rsidRPr="00DE426B">
              <w:rPr>
                <w:rFonts w:asciiTheme="minorHAnsi" w:hAnsiTheme="minorHAnsi"/>
                <w:sz w:val="18"/>
                <w:szCs w:val="18"/>
              </w:rPr>
              <w:t>£</w:t>
            </w:r>
          </w:p>
        </w:tc>
        <w:tc>
          <w:tcPr>
            <w:tcW w:w="1267" w:type="dxa"/>
          </w:tcPr>
          <w:p w14:paraId="5389B2FD" w14:textId="77777777" w:rsidR="00E922D3" w:rsidRDefault="00E922D3" w:rsidP="002B1EBD">
            <w:pPr>
              <w:pStyle w:val="NoSpacing"/>
              <w:jc w:val="right"/>
              <w:rPr>
                <w:rFonts w:asciiTheme="minorHAnsi" w:hAnsiTheme="minorHAnsi"/>
                <w:sz w:val="18"/>
                <w:szCs w:val="18"/>
              </w:rPr>
            </w:pPr>
            <w:r>
              <w:rPr>
                <w:rFonts w:asciiTheme="minorHAnsi" w:hAnsiTheme="minorHAnsi"/>
                <w:sz w:val="18"/>
                <w:szCs w:val="18"/>
              </w:rPr>
              <w:t>202</w:t>
            </w:r>
            <w:r w:rsidR="003F10B3">
              <w:rPr>
                <w:rFonts w:asciiTheme="minorHAnsi" w:hAnsiTheme="minorHAnsi"/>
                <w:sz w:val="18"/>
                <w:szCs w:val="18"/>
              </w:rPr>
              <w:t>2</w:t>
            </w:r>
          </w:p>
          <w:p w14:paraId="64A47AC9" w14:textId="77777777" w:rsidR="00E922D3" w:rsidRPr="00DE426B" w:rsidRDefault="00E922D3" w:rsidP="002B1EBD">
            <w:pPr>
              <w:pStyle w:val="NoSpacing"/>
              <w:jc w:val="right"/>
              <w:rPr>
                <w:rFonts w:asciiTheme="minorHAnsi" w:hAnsiTheme="minorHAnsi"/>
                <w:sz w:val="18"/>
                <w:szCs w:val="18"/>
              </w:rPr>
            </w:pPr>
            <w:r w:rsidRPr="00DE426B">
              <w:rPr>
                <w:rFonts w:asciiTheme="minorHAnsi" w:hAnsiTheme="minorHAnsi"/>
                <w:sz w:val="18"/>
                <w:szCs w:val="18"/>
              </w:rPr>
              <w:t>£</w:t>
            </w:r>
          </w:p>
        </w:tc>
      </w:tr>
      <w:tr w:rsidR="003F10B3" w14:paraId="5830098D" w14:textId="77777777" w:rsidTr="002B1EBD">
        <w:tc>
          <w:tcPr>
            <w:tcW w:w="6411" w:type="dxa"/>
          </w:tcPr>
          <w:p w14:paraId="56117199" w14:textId="77777777" w:rsidR="003F10B3" w:rsidRPr="00DE426B" w:rsidRDefault="003F10B3" w:rsidP="003F10B3">
            <w:pPr>
              <w:rPr>
                <w:rFonts w:cs="Arial"/>
                <w:sz w:val="18"/>
                <w:szCs w:val="18"/>
                <w:lang w:eastAsia="en-GB"/>
              </w:rPr>
            </w:pPr>
            <w:r>
              <w:rPr>
                <w:rFonts w:cs="Arial"/>
                <w:sz w:val="18"/>
                <w:szCs w:val="18"/>
                <w:lang w:eastAsia="en-GB"/>
              </w:rPr>
              <w:t>Trade payables</w:t>
            </w:r>
          </w:p>
        </w:tc>
        <w:tc>
          <w:tcPr>
            <w:tcW w:w="1356" w:type="dxa"/>
          </w:tcPr>
          <w:p w14:paraId="763FE3A1" w14:textId="6CADD81C" w:rsidR="003F10B3" w:rsidRPr="00DE426B" w:rsidRDefault="004856E9" w:rsidP="003F10B3">
            <w:pPr>
              <w:pStyle w:val="NoSpacing"/>
              <w:jc w:val="right"/>
              <w:rPr>
                <w:rFonts w:asciiTheme="minorHAnsi" w:hAnsiTheme="minorHAnsi"/>
                <w:sz w:val="18"/>
                <w:szCs w:val="18"/>
              </w:rPr>
            </w:pPr>
            <w:r>
              <w:rPr>
                <w:rFonts w:asciiTheme="minorHAnsi" w:hAnsiTheme="minorHAnsi"/>
                <w:sz w:val="18"/>
                <w:szCs w:val="18"/>
              </w:rPr>
              <w:t>8,39</w:t>
            </w:r>
            <w:r w:rsidR="00E1461E">
              <w:rPr>
                <w:rFonts w:asciiTheme="minorHAnsi" w:hAnsiTheme="minorHAnsi"/>
                <w:sz w:val="18"/>
                <w:szCs w:val="18"/>
              </w:rPr>
              <w:t>7</w:t>
            </w:r>
          </w:p>
        </w:tc>
        <w:tc>
          <w:tcPr>
            <w:tcW w:w="1267" w:type="dxa"/>
          </w:tcPr>
          <w:p w14:paraId="0C0C8AA8" w14:textId="77777777" w:rsidR="003F10B3" w:rsidRPr="00DE426B" w:rsidRDefault="003F10B3" w:rsidP="003F10B3">
            <w:pPr>
              <w:pStyle w:val="NoSpacing"/>
              <w:jc w:val="right"/>
              <w:rPr>
                <w:rFonts w:asciiTheme="minorHAnsi" w:hAnsiTheme="minorHAnsi"/>
                <w:sz w:val="18"/>
                <w:szCs w:val="18"/>
              </w:rPr>
            </w:pPr>
            <w:r>
              <w:rPr>
                <w:rFonts w:asciiTheme="minorHAnsi" w:hAnsiTheme="minorHAnsi"/>
                <w:sz w:val="18"/>
                <w:szCs w:val="18"/>
              </w:rPr>
              <w:t>8,554</w:t>
            </w:r>
          </w:p>
        </w:tc>
      </w:tr>
      <w:tr w:rsidR="003F10B3" w14:paraId="20D7BDAB" w14:textId="77777777" w:rsidTr="002B1EBD">
        <w:tc>
          <w:tcPr>
            <w:tcW w:w="6411" w:type="dxa"/>
          </w:tcPr>
          <w:p w14:paraId="45EB3ABE" w14:textId="77777777" w:rsidR="003F10B3" w:rsidRPr="00DE426B" w:rsidRDefault="003F10B3" w:rsidP="003F10B3">
            <w:pPr>
              <w:rPr>
                <w:rFonts w:cs="Arial"/>
                <w:sz w:val="18"/>
                <w:szCs w:val="18"/>
                <w:lang w:eastAsia="en-GB"/>
              </w:rPr>
            </w:pPr>
            <w:r w:rsidRPr="00DE426B">
              <w:rPr>
                <w:rFonts w:cs="Arial"/>
                <w:sz w:val="18"/>
                <w:szCs w:val="18"/>
                <w:lang w:eastAsia="en-GB"/>
              </w:rPr>
              <w:t>Accruals</w:t>
            </w:r>
          </w:p>
        </w:tc>
        <w:tc>
          <w:tcPr>
            <w:tcW w:w="1356" w:type="dxa"/>
          </w:tcPr>
          <w:p w14:paraId="6C3960AA" w14:textId="64489518" w:rsidR="003F10B3" w:rsidRPr="00DE426B" w:rsidRDefault="00E3420F" w:rsidP="003F10B3">
            <w:pPr>
              <w:pStyle w:val="NoSpacing"/>
              <w:jc w:val="right"/>
              <w:rPr>
                <w:rFonts w:asciiTheme="minorHAnsi" w:hAnsiTheme="minorHAnsi"/>
                <w:sz w:val="18"/>
                <w:szCs w:val="18"/>
              </w:rPr>
            </w:pPr>
            <w:r>
              <w:rPr>
                <w:rFonts w:asciiTheme="minorHAnsi" w:hAnsiTheme="minorHAnsi"/>
                <w:sz w:val="18"/>
                <w:szCs w:val="18"/>
              </w:rPr>
              <w:t>40,500</w:t>
            </w:r>
          </w:p>
        </w:tc>
        <w:tc>
          <w:tcPr>
            <w:tcW w:w="1267" w:type="dxa"/>
          </w:tcPr>
          <w:p w14:paraId="703E4B32" w14:textId="77777777" w:rsidR="003F10B3" w:rsidRPr="00DE426B" w:rsidRDefault="003F10B3" w:rsidP="003F10B3">
            <w:pPr>
              <w:pStyle w:val="NoSpacing"/>
              <w:jc w:val="right"/>
              <w:rPr>
                <w:rFonts w:asciiTheme="minorHAnsi" w:hAnsiTheme="minorHAnsi"/>
                <w:sz w:val="18"/>
                <w:szCs w:val="18"/>
              </w:rPr>
            </w:pPr>
            <w:r>
              <w:rPr>
                <w:rFonts w:asciiTheme="minorHAnsi" w:hAnsiTheme="minorHAnsi"/>
                <w:sz w:val="18"/>
                <w:szCs w:val="18"/>
              </w:rPr>
              <w:t>19,000</w:t>
            </w:r>
          </w:p>
        </w:tc>
      </w:tr>
      <w:tr w:rsidR="003F10B3" w14:paraId="0636681F" w14:textId="77777777" w:rsidTr="002B1EBD">
        <w:tc>
          <w:tcPr>
            <w:tcW w:w="6411" w:type="dxa"/>
          </w:tcPr>
          <w:p w14:paraId="0F941062" w14:textId="77777777" w:rsidR="003F10B3" w:rsidRDefault="003F10B3" w:rsidP="003F10B3">
            <w:pPr>
              <w:jc w:val="right"/>
              <w:rPr>
                <w:rFonts w:ascii="Times New Roman" w:hAnsi="Times New Roman"/>
              </w:rPr>
            </w:pPr>
          </w:p>
        </w:tc>
        <w:tc>
          <w:tcPr>
            <w:tcW w:w="1356" w:type="dxa"/>
            <w:tcBorders>
              <w:top w:val="single" w:sz="4" w:space="0" w:color="auto"/>
              <w:bottom w:val="single" w:sz="4" w:space="0" w:color="auto"/>
            </w:tcBorders>
          </w:tcPr>
          <w:p w14:paraId="3E45291D" w14:textId="4F8C9B5A" w:rsidR="003F10B3" w:rsidRPr="00744BE1" w:rsidRDefault="00E3420F" w:rsidP="003F10B3">
            <w:pPr>
              <w:jc w:val="right"/>
              <w:rPr>
                <w:rFonts w:cs="Arial"/>
                <w:sz w:val="18"/>
                <w:szCs w:val="18"/>
                <w:lang w:eastAsia="en-GB"/>
              </w:rPr>
            </w:pPr>
            <w:r>
              <w:rPr>
                <w:rFonts w:cs="Arial"/>
                <w:sz w:val="18"/>
                <w:szCs w:val="18"/>
                <w:lang w:eastAsia="en-GB"/>
              </w:rPr>
              <w:t>48,89</w:t>
            </w:r>
            <w:r w:rsidR="00E1461E">
              <w:rPr>
                <w:rFonts w:cs="Arial"/>
                <w:sz w:val="18"/>
                <w:szCs w:val="18"/>
                <w:lang w:eastAsia="en-GB"/>
              </w:rPr>
              <w:t>7</w:t>
            </w:r>
          </w:p>
        </w:tc>
        <w:tc>
          <w:tcPr>
            <w:tcW w:w="1267" w:type="dxa"/>
            <w:tcBorders>
              <w:top w:val="single" w:sz="4" w:space="0" w:color="auto"/>
              <w:bottom w:val="single" w:sz="4" w:space="0" w:color="auto"/>
            </w:tcBorders>
          </w:tcPr>
          <w:p w14:paraId="7E470922" w14:textId="77777777" w:rsidR="003F10B3" w:rsidRPr="00744BE1" w:rsidRDefault="003F10B3" w:rsidP="003F10B3">
            <w:pPr>
              <w:jc w:val="right"/>
              <w:rPr>
                <w:rFonts w:cs="Arial"/>
                <w:sz w:val="18"/>
                <w:szCs w:val="18"/>
                <w:lang w:eastAsia="en-GB"/>
              </w:rPr>
            </w:pPr>
            <w:r>
              <w:rPr>
                <w:rFonts w:cs="Arial"/>
                <w:sz w:val="18"/>
                <w:szCs w:val="18"/>
                <w:lang w:eastAsia="en-GB"/>
              </w:rPr>
              <w:t>27,554</w:t>
            </w:r>
          </w:p>
        </w:tc>
      </w:tr>
    </w:tbl>
    <w:p w14:paraId="70453005" w14:textId="77777777" w:rsidR="00E922D3" w:rsidRDefault="00E922D3" w:rsidP="00230970">
      <w:pPr>
        <w:ind w:left="426"/>
        <w:contextualSpacing/>
        <w:rPr>
          <w:rFonts w:cs="Arial"/>
          <w:sz w:val="18"/>
          <w:szCs w:val="18"/>
          <w:lang w:eastAsia="en-GB"/>
        </w:rPr>
      </w:pPr>
    </w:p>
    <w:p w14:paraId="295029F4" w14:textId="77777777" w:rsidR="00744BE1" w:rsidRPr="001D0D95" w:rsidRDefault="001D0D95" w:rsidP="001D0D95">
      <w:pPr>
        <w:pStyle w:val="ListParagraph"/>
        <w:numPr>
          <w:ilvl w:val="0"/>
          <w:numId w:val="20"/>
        </w:numPr>
        <w:ind w:left="426"/>
        <w:rPr>
          <w:rFonts w:cs="Arial"/>
          <w:b/>
          <w:sz w:val="18"/>
          <w:szCs w:val="18"/>
          <w:lang w:eastAsia="en-GB"/>
        </w:rPr>
      </w:pPr>
      <w:r w:rsidRPr="001D0D95">
        <w:rPr>
          <w:rFonts w:cs="Arial"/>
          <w:b/>
          <w:sz w:val="18"/>
          <w:szCs w:val="18"/>
          <w:lang w:eastAsia="en-GB"/>
        </w:rPr>
        <w:t>BORROWINGS</w:t>
      </w:r>
    </w:p>
    <w:p w14:paraId="03662C1E" w14:textId="77777777" w:rsidR="00B24D9F" w:rsidRDefault="00B24D9F" w:rsidP="00D63E44">
      <w:pPr>
        <w:pStyle w:val="ListParagraph"/>
        <w:ind w:left="426"/>
        <w:rPr>
          <w:rFonts w:cs="Arial"/>
          <w:sz w:val="18"/>
          <w:szCs w:val="18"/>
          <w:lang w:eastAsia="en-GB"/>
        </w:rPr>
      </w:pP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1356"/>
        <w:gridCol w:w="1267"/>
      </w:tblGrid>
      <w:tr w:rsidR="00B24D9F" w14:paraId="2EC0D8AE" w14:textId="77777777" w:rsidTr="002D4189">
        <w:tc>
          <w:tcPr>
            <w:tcW w:w="6411" w:type="dxa"/>
          </w:tcPr>
          <w:p w14:paraId="01B73067" w14:textId="77777777" w:rsidR="00B24D9F" w:rsidRPr="00DE426B" w:rsidRDefault="00B24D9F" w:rsidP="002D4189">
            <w:pPr>
              <w:rPr>
                <w:rFonts w:cs="Arial"/>
                <w:sz w:val="18"/>
                <w:szCs w:val="18"/>
                <w:lang w:eastAsia="en-GB"/>
              </w:rPr>
            </w:pPr>
          </w:p>
        </w:tc>
        <w:tc>
          <w:tcPr>
            <w:tcW w:w="1356" w:type="dxa"/>
          </w:tcPr>
          <w:p w14:paraId="6BC8870D" w14:textId="77777777" w:rsidR="00B24D9F" w:rsidRDefault="00B24D9F" w:rsidP="002D4189">
            <w:pPr>
              <w:pStyle w:val="NoSpacing"/>
              <w:jc w:val="right"/>
              <w:rPr>
                <w:rFonts w:asciiTheme="minorHAnsi" w:hAnsiTheme="minorHAnsi"/>
                <w:sz w:val="18"/>
                <w:szCs w:val="18"/>
              </w:rPr>
            </w:pPr>
            <w:r>
              <w:rPr>
                <w:rFonts w:asciiTheme="minorHAnsi" w:hAnsiTheme="minorHAnsi"/>
                <w:sz w:val="18"/>
                <w:szCs w:val="18"/>
              </w:rPr>
              <w:t>2023</w:t>
            </w:r>
          </w:p>
          <w:p w14:paraId="06F2014E" w14:textId="77777777" w:rsidR="00B24D9F" w:rsidRPr="00DE426B" w:rsidRDefault="00B24D9F" w:rsidP="002D4189">
            <w:pPr>
              <w:pStyle w:val="NoSpacing"/>
              <w:jc w:val="right"/>
              <w:rPr>
                <w:rFonts w:asciiTheme="minorHAnsi" w:hAnsiTheme="minorHAnsi"/>
                <w:sz w:val="18"/>
                <w:szCs w:val="18"/>
              </w:rPr>
            </w:pPr>
            <w:r w:rsidRPr="00DE426B">
              <w:rPr>
                <w:rFonts w:asciiTheme="minorHAnsi" w:hAnsiTheme="minorHAnsi"/>
                <w:sz w:val="18"/>
                <w:szCs w:val="18"/>
              </w:rPr>
              <w:t>£</w:t>
            </w:r>
          </w:p>
        </w:tc>
        <w:tc>
          <w:tcPr>
            <w:tcW w:w="1267" w:type="dxa"/>
          </w:tcPr>
          <w:p w14:paraId="0D28B008" w14:textId="77777777" w:rsidR="00B24D9F" w:rsidRDefault="00B24D9F" w:rsidP="002D4189">
            <w:pPr>
              <w:pStyle w:val="NoSpacing"/>
              <w:jc w:val="right"/>
              <w:rPr>
                <w:rFonts w:asciiTheme="minorHAnsi" w:hAnsiTheme="minorHAnsi"/>
                <w:sz w:val="18"/>
                <w:szCs w:val="18"/>
              </w:rPr>
            </w:pPr>
            <w:r>
              <w:rPr>
                <w:rFonts w:asciiTheme="minorHAnsi" w:hAnsiTheme="minorHAnsi"/>
                <w:sz w:val="18"/>
                <w:szCs w:val="18"/>
              </w:rPr>
              <w:t>2022</w:t>
            </w:r>
          </w:p>
          <w:p w14:paraId="6CF5DA33" w14:textId="77777777" w:rsidR="00B24D9F" w:rsidRPr="00DE426B" w:rsidRDefault="00B24D9F" w:rsidP="002D4189">
            <w:pPr>
              <w:pStyle w:val="NoSpacing"/>
              <w:jc w:val="right"/>
              <w:rPr>
                <w:rFonts w:asciiTheme="minorHAnsi" w:hAnsiTheme="minorHAnsi"/>
                <w:sz w:val="18"/>
                <w:szCs w:val="18"/>
              </w:rPr>
            </w:pPr>
            <w:r w:rsidRPr="00DE426B">
              <w:rPr>
                <w:rFonts w:asciiTheme="minorHAnsi" w:hAnsiTheme="minorHAnsi"/>
                <w:sz w:val="18"/>
                <w:szCs w:val="18"/>
              </w:rPr>
              <w:t>£</w:t>
            </w:r>
          </w:p>
        </w:tc>
      </w:tr>
      <w:tr w:rsidR="00B24D9F" w:rsidRPr="00B24D9F" w14:paraId="4EAB0A3D" w14:textId="77777777" w:rsidTr="002D4189">
        <w:tc>
          <w:tcPr>
            <w:tcW w:w="6411" w:type="dxa"/>
          </w:tcPr>
          <w:p w14:paraId="37455252" w14:textId="6030992B" w:rsidR="00B24D9F" w:rsidRPr="00DE426B" w:rsidRDefault="00955701" w:rsidP="002D4189">
            <w:pPr>
              <w:rPr>
                <w:rFonts w:cs="Arial"/>
                <w:sz w:val="18"/>
                <w:szCs w:val="18"/>
                <w:lang w:eastAsia="en-GB"/>
              </w:rPr>
            </w:pPr>
            <w:r>
              <w:rPr>
                <w:rFonts w:cs="Arial"/>
                <w:sz w:val="18"/>
                <w:szCs w:val="18"/>
                <w:lang w:eastAsia="en-GB"/>
              </w:rPr>
              <w:t>C</w:t>
            </w:r>
            <w:r w:rsidR="00B24D9F">
              <w:rPr>
                <w:rFonts w:cs="Arial"/>
                <w:sz w:val="18"/>
                <w:szCs w:val="18"/>
                <w:lang w:eastAsia="en-GB"/>
              </w:rPr>
              <w:t>urrent Borrowings</w:t>
            </w:r>
          </w:p>
        </w:tc>
        <w:tc>
          <w:tcPr>
            <w:tcW w:w="1356" w:type="dxa"/>
          </w:tcPr>
          <w:p w14:paraId="7973D5B9" w14:textId="77777777" w:rsidR="00B24D9F" w:rsidRPr="00B24D9F" w:rsidRDefault="00B24D9F" w:rsidP="002D4189">
            <w:pPr>
              <w:pStyle w:val="NoSpacing"/>
              <w:jc w:val="right"/>
              <w:rPr>
                <w:rFonts w:asciiTheme="minorHAnsi" w:hAnsiTheme="minorHAnsi" w:cstheme="minorHAnsi"/>
                <w:sz w:val="18"/>
                <w:szCs w:val="18"/>
              </w:rPr>
            </w:pPr>
            <w:r w:rsidRPr="00B24D9F">
              <w:rPr>
                <w:rFonts w:asciiTheme="minorHAnsi" w:hAnsiTheme="minorHAnsi" w:cstheme="minorHAnsi"/>
                <w:sz w:val="18"/>
                <w:szCs w:val="18"/>
              </w:rPr>
              <w:t>1</w:t>
            </w:r>
            <w:r w:rsidRPr="00786A78">
              <w:rPr>
                <w:rFonts w:asciiTheme="minorHAnsi" w:hAnsiTheme="minorHAnsi" w:cstheme="minorHAnsi"/>
                <w:sz w:val="18"/>
                <w:szCs w:val="18"/>
              </w:rPr>
              <w:t>0,469</w:t>
            </w:r>
          </w:p>
        </w:tc>
        <w:tc>
          <w:tcPr>
            <w:tcW w:w="1267" w:type="dxa"/>
          </w:tcPr>
          <w:p w14:paraId="6BDB146A" w14:textId="77777777" w:rsidR="00B24D9F" w:rsidRPr="00B24D9F" w:rsidRDefault="00B24D9F" w:rsidP="002D4189">
            <w:pPr>
              <w:pStyle w:val="NoSpacing"/>
              <w:jc w:val="right"/>
              <w:rPr>
                <w:rFonts w:asciiTheme="minorHAnsi" w:hAnsiTheme="minorHAnsi" w:cstheme="minorHAnsi"/>
                <w:sz w:val="18"/>
                <w:szCs w:val="18"/>
              </w:rPr>
            </w:pPr>
            <w:r w:rsidRPr="00B24D9F">
              <w:rPr>
                <w:rFonts w:asciiTheme="minorHAnsi" w:hAnsiTheme="minorHAnsi" w:cstheme="minorHAnsi"/>
                <w:sz w:val="18"/>
                <w:szCs w:val="18"/>
              </w:rPr>
              <w:t>1</w:t>
            </w:r>
            <w:r w:rsidRPr="00380247">
              <w:rPr>
                <w:rFonts w:asciiTheme="minorHAnsi" w:hAnsiTheme="minorHAnsi" w:cstheme="minorHAnsi"/>
                <w:sz w:val="18"/>
                <w:szCs w:val="18"/>
              </w:rPr>
              <w:t>0,469</w:t>
            </w:r>
          </w:p>
        </w:tc>
      </w:tr>
      <w:tr w:rsidR="00B24D9F" w:rsidRPr="00B24D9F" w14:paraId="24EEC345" w14:textId="77777777" w:rsidTr="002D4189">
        <w:tc>
          <w:tcPr>
            <w:tcW w:w="6411" w:type="dxa"/>
          </w:tcPr>
          <w:p w14:paraId="12B49703" w14:textId="77777777" w:rsidR="00B24D9F" w:rsidRDefault="00B24D9F" w:rsidP="002D4189">
            <w:pPr>
              <w:jc w:val="right"/>
              <w:rPr>
                <w:rFonts w:ascii="Times New Roman" w:hAnsi="Times New Roman"/>
              </w:rPr>
            </w:pPr>
          </w:p>
        </w:tc>
        <w:tc>
          <w:tcPr>
            <w:tcW w:w="1356" w:type="dxa"/>
            <w:tcBorders>
              <w:top w:val="single" w:sz="4" w:space="0" w:color="auto"/>
              <w:bottom w:val="single" w:sz="4" w:space="0" w:color="auto"/>
            </w:tcBorders>
          </w:tcPr>
          <w:p w14:paraId="35120131" w14:textId="77777777" w:rsidR="00B24D9F" w:rsidRPr="00B24D9F" w:rsidRDefault="00B24D9F" w:rsidP="002D4189">
            <w:pPr>
              <w:jc w:val="right"/>
              <w:rPr>
                <w:rFonts w:cstheme="minorHAnsi"/>
                <w:sz w:val="18"/>
                <w:szCs w:val="18"/>
                <w:lang w:eastAsia="en-GB"/>
              </w:rPr>
            </w:pPr>
            <w:r w:rsidRPr="00B24D9F">
              <w:rPr>
                <w:rFonts w:cstheme="minorHAnsi"/>
                <w:sz w:val="18"/>
                <w:szCs w:val="18"/>
              </w:rPr>
              <w:t>1</w:t>
            </w:r>
            <w:r w:rsidRPr="00380247">
              <w:rPr>
                <w:rFonts w:cstheme="minorHAnsi"/>
                <w:sz w:val="18"/>
                <w:szCs w:val="18"/>
              </w:rPr>
              <w:t>0,469</w:t>
            </w:r>
          </w:p>
        </w:tc>
        <w:tc>
          <w:tcPr>
            <w:tcW w:w="1267" w:type="dxa"/>
            <w:tcBorders>
              <w:top w:val="single" w:sz="4" w:space="0" w:color="auto"/>
              <w:bottom w:val="single" w:sz="4" w:space="0" w:color="auto"/>
            </w:tcBorders>
          </w:tcPr>
          <w:p w14:paraId="0EC489FF" w14:textId="77777777" w:rsidR="00B24D9F" w:rsidRPr="00B24D9F" w:rsidRDefault="00B24D9F" w:rsidP="002D4189">
            <w:pPr>
              <w:jc w:val="right"/>
              <w:rPr>
                <w:rFonts w:cstheme="minorHAnsi"/>
                <w:sz w:val="18"/>
                <w:szCs w:val="18"/>
                <w:lang w:eastAsia="en-GB"/>
              </w:rPr>
            </w:pPr>
            <w:r w:rsidRPr="00B24D9F">
              <w:rPr>
                <w:rFonts w:cstheme="minorHAnsi"/>
                <w:sz w:val="18"/>
                <w:szCs w:val="18"/>
              </w:rPr>
              <w:t>1</w:t>
            </w:r>
            <w:r w:rsidRPr="00380247">
              <w:rPr>
                <w:rFonts w:cstheme="minorHAnsi"/>
                <w:sz w:val="18"/>
                <w:szCs w:val="18"/>
              </w:rPr>
              <w:t>0,469</w:t>
            </w:r>
          </w:p>
        </w:tc>
      </w:tr>
    </w:tbl>
    <w:p w14:paraId="76C5FA6A" w14:textId="77777777" w:rsidR="00B24D9F" w:rsidRDefault="00B24D9F" w:rsidP="00D63E44">
      <w:pPr>
        <w:pStyle w:val="ListParagraph"/>
        <w:ind w:left="426"/>
        <w:rPr>
          <w:rFonts w:cs="Arial"/>
          <w:sz w:val="18"/>
          <w:szCs w:val="18"/>
          <w:lang w:eastAsia="en-GB"/>
        </w:rPr>
      </w:pPr>
    </w:p>
    <w:p w14:paraId="2424B83C" w14:textId="77777777" w:rsidR="00B24D9F" w:rsidRDefault="00B24D9F" w:rsidP="00D63E44">
      <w:pPr>
        <w:pStyle w:val="ListParagraph"/>
        <w:ind w:left="426"/>
        <w:rPr>
          <w:rFonts w:cs="Arial"/>
          <w:sz w:val="18"/>
          <w:szCs w:val="18"/>
          <w:lang w:eastAsia="en-GB"/>
        </w:rPr>
      </w:pPr>
    </w:p>
    <w:p w14:paraId="2FBC95DD" w14:textId="77777777" w:rsidR="00B24D9F" w:rsidRDefault="00B24D9F" w:rsidP="00D63E44">
      <w:pPr>
        <w:pStyle w:val="ListParagraph"/>
        <w:ind w:left="426"/>
        <w:rPr>
          <w:rFonts w:cs="Arial"/>
          <w:sz w:val="18"/>
          <w:szCs w:val="18"/>
          <w:lang w:eastAsia="en-GB"/>
        </w:rPr>
      </w:pPr>
    </w:p>
    <w:p w14:paraId="70CDFE5F" w14:textId="77777777" w:rsidR="001D0D95" w:rsidRPr="00D63E44" w:rsidRDefault="001D0D95" w:rsidP="00D63E44">
      <w:pPr>
        <w:pStyle w:val="ListParagraph"/>
        <w:ind w:left="426"/>
        <w:rPr>
          <w:rFonts w:cs="Arial"/>
          <w:sz w:val="18"/>
          <w:szCs w:val="18"/>
          <w:lang w:eastAsia="en-GB"/>
        </w:rPr>
      </w:pPr>
      <w:r w:rsidRPr="00EE785D">
        <w:rPr>
          <w:rFonts w:cs="Arial"/>
          <w:sz w:val="18"/>
          <w:szCs w:val="18"/>
          <w:lang w:eastAsia="en-GB"/>
        </w:rPr>
        <w:lastRenderedPageBreak/>
        <w:t>On 23 September 2020 the Company entered into a loan agreement in the amount of £10,469. The loan payable is non-interest bearing and repayable in whole on demand.</w:t>
      </w:r>
      <w:r w:rsidR="00D13AD0" w:rsidRPr="00CB7800">
        <w:rPr>
          <w:rFonts w:cs="Arial"/>
          <w:sz w:val="18"/>
          <w:szCs w:val="18"/>
          <w:lang w:eastAsia="en-GB"/>
        </w:rPr>
        <w:t xml:space="preserve"> </w:t>
      </w:r>
    </w:p>
    <w:p w14:paraId="29A48078" w14:textId="77777777" w:rsidR="00744BE1" w:rsidRPr="00874B5A"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744BE1">
        <w:rPr>
          <w:rFonts w:cs="Arial"/>
          <w:b/>
          <w:color w:val="000000"/>
          <w:sz w:val="18"/>
          <w:szCs w:val="18"/>
        </w:rPr>
        <w:t xml:space="preserve">DIRECTORS’ EMOLUMENTS </w:t>
      </w:r>
    </w:p>
    <w:p w14:paraId="26E13C1C" w14:textId="77777777" w:rsidR="000D5C60" w:rsidRDefault="00744BE1" w:rsidP="00D63E44">
      <w:pPr>
        <w:spacing w:after="0"/>
        <w:ind w:left="426"/>
        <w:rPr>
          <w:rFonts w:cs="Arial"/>
          <w:b/>
          <w:color w:val="000000"/>
          <w:sz w:val="18"/>
          <w:szCs w:val="18"/>
        </w:rPr>
      </w:pPr>
      <w:r w:rsidRPr="00744BE1">
        <w:rPr>
          <w:rFonts w:cs="Arial"/>
          <w:sz w:val="18"/>
          <w:szCs w:val="18"/>
          <w:lang w:eastAsia="en-GB"/>
        </w:rPr>
        <w:t>No amount was paid or become payable to any of the Directors of the Company and there were no staff costs as no staff was employed by the Company durin</w:t>
      </w:r>
      <w:r w:rsidR="00874B5A">
        <w:rPr>
          <w:rFonts w:cs="Arial"/>
          <w:sz w:val="18"/>
          <w:szCs w:val="18"/>
          <w:lang w:eastAsia="en-GB"/>
        </w:rPr>
        <w:t>g the period ended 31 January 20</w:t>
      </w:r>
      <w:r w:rsidR="00885F56">
        <w:rPr>
          <w:rFonts w:cs="Arial"/>
          <w:sz w:val="18"/>
          <w:szCs w:val="18"/>
          <w:lang w:eastAsia="en-GB"/>
        </w:rPr>
        <w:t>2</w:t>
      </w:r>
      <w:r w:rsidR="004856E9">
        <w:rPr>
          <w:rFonts w:cs="Arial"/>
          <w:sz w:val="18"/>
          <w:szCs w:val="18"/>
          <w:lang w:eastAsia="en-GB"/>
        </w:rPr>
        <w:t>3</w:t>
      </w:r>
      <w:r w:rsidR="00885F56">
        <w:rPr>
          <w:rFonts w:cs="Arial"/>
          <w:sz w:val="18"/>
          <w:szCs w:val="18"/>
          <w:lang w:eastAsia="en-GB"/>
        </w:rPr>
        <w:t xml:space="preserve"> (20</w:t>
      </w:r>
      <w:r w:rsidR="005F3E72">
        <w:rPr>
          <w:rFonts w:cs="Arial"/>
          <w:sz w:val="18"/>
          <w:szCs w:val="18"/>
          <w:lang w:eastAsia="en-GB"/>
        </w:rPr>
        <w:t>2</w:t>
      </w:r>
      <w:r w:rsidR="004856E9">
        <w:rPr>
          <w:rFonts w:cs="Arial"/>
          <w:sz w:val="18"/>
          <w:szCs w:val="18"/>
          <w:lang w:eastAsia="en-GB"/>
        </w:rPr>
        <w:t>2</w:t>
      </w:r>
      <w:r w:rsidR="00885F56">
        <w:rPr>
          <w:rFonts w:cs="Arial"/>
          <w:sz w:val="18"/>
          <w:szCs w:val="18"/>
          <w:lang w:eastAsia="en-GB"/>
        </w:rPr>
        <w:t xml:space="preserve">: </w:t>
      </w:r>
      <w:r w:rsidR="0089307C" w:rsidRPr="00AC052C">
        <w:rPr>
          <w:rFonts w:cs="Arial"/>
          <w:sz w:val="18"/>
          <w:szCs w:val="18"/>
          <w:lang w:eastAsia="en-GB"/>
        </w:rPr>
        <w:t>£</w:t>
      </w:r>
      <w:r w:rsidR="0089307C">
        <w:rPr>
          <w:rFonts w:cs="Arial"/>
          <w:sz w:val="18"/>
          <w:szCs w:val="18"/>
          <w:lang w:eastAsia="en-GB"/>
        </w:rPr>
        <w:t>nil</w:t>
      </w:r>
      <w:r w:rsidR="00885F56">
        <w:rPr>
          <w:rFonts w:cs="Arial"/>
          <w:sz w:val="18"/>
          <w:szCs w:val="18"/>
          <w:lang w:eastAsia="en-GB"/>
        </w:rPr>
        <w:t>)</w:t>
      </w:r>
      <w:r w:rsidRPr="00744BE1">
        <w:rPr>
          <w:rFonts w:cs="Arial"/>
          <w:sz w:val="18"/>
          <w:szCs w:val="18"/>
          <w:lang w:eastAsia="en-GB"/>
        </w:rPr>
        <w:t xml:space="preserve">. </w:t>
      </w:r>
    </w:p>
    <w:p w14:paraId="29CBC0B6" w14:textId="77777777" w:rsidR="00BD49E4" w:rsidRDefault="00BD49E4" w:rsidP="00BD49E4">
      <w:pPr>
        <w:tabs>
          <w:tab w:val="left" w:pos="567"/>
        </w:tabs>
        <w:autoSpaceDE w:val="0"/>
        <w:autoSpaceDN w:val="0"/>
        <w:adjustRightInd w:val="0"/>
        <w:spacing w:before="0" w:after="0"/>
        <w:ind w:left="426"/>
        <w:contextualSpacing/>
        <w:rPr>
          <w:rFonts w:cs="Arial"/>
          <w:b/>
          <w:color w:val="000000"/>
          <w:sz w:val="18"/>
          <w:szCs w:val="18"/>
        </w:rPr>
      </w:pPr>
    </w:p>
    <w:p w14:paraId="08ACC4FC" w14:textId="77777777" w:rsidR="00744BE1" w:rsidRPr="00744BE1"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744BE1">
        <w:rPr>
          <w:rFonts w:cs="Arial"/>
          <w:b/>
          <w:color w:val="000000"/>
          <w:sz w:val="18"/>
          <w:szCs w:val="18"/>
        </w:rPr>
        <w:t>FINANCIAL RISK MANAGEMENT</w:t>
      </w:r>
    </w:p>
    <w:p w14:paraId="670DBA3B" w14:textId="77777777" w:rsidR="00744BE1" w:rsidRPr="00AB757A" w:rsidRDefault="00744BE1" w:rsidP="00744BE1">
      <w:pPr>
        <w:spacing w:after="0"/>
        <w:ind w:left="426"/>
        <w:rPr>
          <w:rFonts w:ascii="Times New Roman" w:hAnsi="Times New Roman"/>
        </w:rPr>
      </w:pPr>
      <w:r w:rsidRPr="00744BE1">
        <w:rPr>
          <w:rFonts w:cs="Arial"/>
          <w:sz w:val="18"/>
          <w:szCs w:val="18"/>
          <w:lang w:eastAsia="en-GB"/>
        </w:rPr>
        <w:t>The Company uses a limited number of financial instruments, comprising cash</w:t>
      </w:r>
      <w:r w:rsidR="009D5D06">
        <w:rPr>
          <w:rFonts w:cs="Arial"/>
          <w:sz w:val="18"/>
          <w:szCs w:val="18"/>
          <w:lang w:eastAsia="en-GB"/>
        </w:rPr>
        <w:t xml:space="preserve"> </w:t>
      </w:r>
      <w:r w:rsidRPr="00744BE1">
        <w:rPr>
          <w:rFonts w:cs="Arial"/>
          <w:sz w:val="18"/>
          <w:szCs w:val="18"/>
          <w:lang w:eastAsia="en-GB"/>
        </w:rPr>
        <w:t>and various items such as trade payables, which arise directly from operations. The Company does not trade in financial instruments.</w:t>
      </w:r>
    </w:p>
    <w:p w14:paraId="14AE5C9A" w14:textId="77777777" w:rsidR="00744BE1" w:rsidRPr="00744BE1" w:rsidRDefault="00744BE1" w:rsidP="00744BE1">
      <w:pPr>
        <w:spacing w:after="0"/>
        <w:ind w:left="426"/>
        <w:rPr>
          <w:rFonts w:cs="Arial"/>
          <w:b/>
          <w:color w:val="000000"/>
          <w:sz w:val="18"/>
          <w:szCs w:val="18"/>
        </w:rPr>
      </w:pPr>
      <w:r w:rsidRPr="00744BE1">
        <w:rPr>
          <w:rFonts w:cs="Arial"/>
          <w:b/>
          <w:color w:val="000000"/>
          <w:sz w:val="18"/>
          <w:szCs w:val="18"/>
        </w:rPr>
        <w:t>Financial risk factors</w:t>
      </w:r>
    </w:p>
    <w:p w14:paraId="00233A65" w14:textId="77777777" w:rsidR="00744BE1" w:rsidRPr="00744BE1" w:rsidRDefault="00744BE1" w:rsidP="00744BE1">
      <w:pPr>
        <w:spacing w:after="0"/>
        <w:ind w:left="426"/>
        <w:rPr>
          <w:rFonts w:cs="Arial"/>
          <w:sz w:val="18"/>
          <w:szCs w:val="18"/>
          <w:lang w:eastAsia="en-GB"/>
        </w:rPr>
      </w:pPr>
      <w:r w:rsidRPr="00744BE1">
        <w:rPr>
          <w:rFonts w:cs="Arial"/>
          <w:sz w:val="18"/>
          <w:szCs w:val="18"/>
          <w:lang w:eastAsia="en-GB"/>
        </w:rPr>
        <w:t>The Company’s activities expose it to a variety of financial risks: credit risk</w:t>
      </w:r>
      <w:r w:rsidR="00076B0A">
        <w:rPr>
          <w:rFonts w:cs="Arial"/>
          <w:sz w:val="18"/>
          <w:szCs w:val="18"/>
          <w:lang w:eastAsia="en-GB"/>
        </w:rPr>
        <w:t xml:space="preserve"> and</w:t>
      </w:r>
      <w:r w:rsidRPr="00744BE1">
        <w:rPr>
          <w:rFonts w:cs="Arial"/>
          <w:sz w:val="18"/>
          <w:szCs w:val="18"/>
          <w:lang w:eastAsia="en-GB"/>
        </w:rPr>
        <w:t xml:space="preserve"> liquidity risk. The Company’s overall risk management programme focuses on the unpredictability of financial markets and seeks to minimise potential adverse effects on the Company’s financial performance. </w:t>
      </w:r>
    </w:p>
    <w:p w14:paraId="6283DBE1" w14:textId="77777777" w:rsidR="00744BE1" w:rsidRPr="00744BE1" w:rsidRDefault="006D02F9" w:rsidP="00744BE1">
      <w:pPr>
        <w:spacing w:after="0"/>
        <w:ind w:left="426"/>
        <w:rPr>
          <w:rFonts w:cs="Arial"/>
          <w:b/>
          <w:color w:val="000000"/>
          <w:sz w:val="18"/>
          <w:szCs w:val="18"/>
        </w:rPr>
      </w:pPr>
      <w:r>
        <w:rPr>
          <w:rFonts w:cs="Arial"/>
          <w:b/>
          <w:color w:val="000000"/>
          <w:sz w:val="18"/>
          <w:szCs w:val="18"/>
        </w:rPr>
        <w:t>a</w:t>
      </w:r>
      <w:r w:rsidR="00744BE1" w:rsidRPr="00744BE1">
        <w:rPr>
          <w:rFonts w:cs="Arial"/>
          <w:b/>
          <w:color w:val="000000"/>
          <w:sz w:val="18"/>
          <w:szCs w:val="18"/>
        </w:rPr>
        <w:t>) Credit risk</w:t>
      </w:r>
    </w:p>
    <w:p w14:paraId="77972080" w14:textId="77777777" w:rsidR="009106B7" w:rsidRDefault="00E922D3" w:rsidP="00D63E44">
      <w:pPr>
        <w:spacing w:after="0"/>
        <w:ind w:left="426"/>
        <w:rPr>
          <w:rFonts w:cs="Arial"/>
          <w:sz w:val="18"/>
          <w:szCs w:val="18"/>
          <w:lang w:eastAsia="en-GB"/>
        </w:rPr>
      </w:pPr>
      <w:r w:rsidRPr="00CD1113">
        <w:rPr>
          <w:rFonts w:cs="Arial"/>
          <w:sz w:val="18"/>
          <w:szCs w:val="18"/>
          <w:lang w:eastAsia="en-GB"/>
        </w:rPr>
        <w:t xml:space="preserve">Credit risk is the risk of an unexpected loss if a counter party to a financial instrument fails to meet its commercial obligations. The Company’s maximum credit risk exposure is limited to the carrying amount of cash </w:t>
      </w:r>
      <w:r w:rsidRPr="00D13AD0">
        <w:rPr>
          <w:rFonts w:cs="Arial"/>
          <w:sz w:val="18"/>
          <w:szCs w:val="18"/>
          <w:lang w:eastAsia="en-GB"/>
        </w:rPr>
        <w:t>of £</w:t>
      </w:r>
      <w:r w:rsidR="004856E9">
        <w:rPr>
          <w:rFonts w:cs="Arial"/>
          <w:sz w:val="18"/>
          <w:szCs w:val="18"/>
          <w:lang w:eastAsia="en-GB"/>
        </w:rPr>
        <w:t>48,210</w:t>
      </w:r>
      <w:r w:rsidRPr="00D13AD0">
        <w:rPr>
          <w:rFonts w:cs="Arial"/>
          <w:sz w:val="18"/>
          <w:szCs w:val="18"/>
          <w:lang w:eastAsia="en-GB"/>
        </w:rPr>
        <w:t>. Funds</w:t>
      </w:r>
      <w:r w:rsidRPr="00CD1113">
        <w:rPr>
          <w:rFonts w:cs="Arial"/>
          <w:sz w:val="18"/>
          <w:szCs w:val="18"/>
          <w:lang w:eastAsia="en-GB"/>
        </w:rPr>
        <w:t xml:space="preserve"> are deposited with financial institutions with a credit rating equivalent to, or above, the main UK clearing banks</w:t>
      </w:r>
      <w:r>
        <w:rPr>
          <w:rFonts w:cs="Arial"/>
          <w:sz w:val="18"/>
          <w:szCs w:val="18"/>
          <w:lang w:eastAsia="en-GB"/>
        </w:rPr>
        <w:t>.</w:t>
      </w:r>
    </w:p>
    <w:p w14:paraId="7BC6CDF3" w14:textId="77777777" w:rsidR="00744BE1" w:rsidRPr="00744BE1" w:rsidRDefault="006D02F9" w:rsidP="00D63E44">
      <w:pPr>
        <w:spacing w:after="0"/>
        <w:ind w:firstLine="426"/>
        <w:rPr>
          <w:rFonts w:cs="Arial"/>
          <w:b/>
          <w:color w:val="000000"/>
          <w:sz w:val="18"/>
          <w:szCs w:val="18"/>
        </w:rPr>
      </w:pPr>
      <w:r>
        <w:rPr>
          <w:rFonts w:cs="Arial"/>
          <w:b/>
          <w:color w:val="000000"/>
          <w:sz w:val="18"/>
          <w:szCs w:val="18"/>
        </w:rPr>
        <w:t>b</w:t>
      </w:r>
      <w:r w:rsidR="00744BE1" w:rsidRPr="00744BE1">
        <w:rPr>
          <w:rFonts w:cs="Arial"/>
          <w:b/>
          <w:color w:val="000000"/>
          <w:sz w:val="18"/>
          <w:szCs w:val="18"/>
        </w:rPr>
        <w:t>) Liquidity risk</w:t>
      </w:r>
    </w:p>
    <w:p w14:paraId="14D7E26F" w14:textId="77777777" w:rsidR="00744BE1" w:rsidRPr="00744BE1" w:rsidRDefault="00744BE1" w:rsidP="00744BE1">
      <w:pPr>
        <w:spacing w:after="0"/>
        <w:ind w:left="426"/>
        <w:rPr>
          <w:rFonts w:cs="Arial"/>
          <w:sz w:val="18"/>
          <w:szCs w:val="18"/>
          <w:lang w:eastAsia="en-GB"/>
        </w:rPr>
      </w:pPr>
      <w:r w:rsidRPr="00744BE1">
        <w:rPr>
          <w:rFonts w:cs="Arial"/>
          <w:sz w:val="18"/>
          <w:szCs w:val="18"/>
          <w:lang w:eastAsia="en-GB"/>
        </w:rPr>
        <w:t>Prudent liquidity risk management implies maintaining sufficient cash</w:t>
      </w:r>
      <w:r w:rsidR="006D02F9">
        <w:rPr>
          <w:rFonts w:cs="Arial"/>
          <w:sz w:val="18"/>
          <w:szCs w:val="18"/>
          <w:lang w:eastAsia="en-GB"/>
        </w:rPr>
        <w:t>,</w:t>
      </w:r>
      <w:r w:rsidR="009D5D06">
        <w:rPr>
          <w:rFonts w:cs="Arial"/>
          <w:sz w:val="18"/>
          <w:szCs w:val="18"/>
          <w:lang w:eastAsia="en-GB"/>
        </w:rPr>
        <w:t xml:space="preserve"> </w:t>
      </w:r>
      <w:r w:rsidR="006D02F9">
        <w:rPr>
          <w:rFonts w:cs="Arial"/>
          <w:sz w:val="18"/>
          <w:szCs w:val="18"/>
          <w:lang w:eastAsia="en-GB"/>
        </w:rPr>
        <w:t>t</w:t>
      </w:r>
      <w:r w:rsidRPr="00744BE1">
        <w:rPr>
          <w:rFonts w:cs="Arial"/>
          <w:sz w:val="18"/>
          <w:szCs w:val="18"/>
          <w:lang w:eastAsia="en-GB"/>
        </w:rPr>
        <w:t>he Company ensures it has adequate resource to discharge all its liabilities. The directors have considered the liquidity risk as part of their going concern assessment. (See note 2).</w:t>
      </w:r>
    </w:p>
    <w:p w14:paraId="3916793E" w14:textId="77777777" w:rsidR="00744BE1" w:rsidRPr="00744BE1" w:rsidRDefault="00744BE1" w:rsidP="00744BE1">
      <w:pPr>
        <w:spacing w:after="0"/>
        <w:ind w:left="426"/>
        <w:rPr>
          <w:rFonts w:cs="Arial"/>
          <w:b/>
          <w:color w:val="000000"/>
          <w:sz w:val="18"/>
          <w:szCs w:val="18"/>
        </w:rPr>
      </w:pPr>
      <w:r w:rsidRPr="00744BE1">
        <w:rPr>
          <w:rFonts w:cs="Arial"/>
          <w:b/>
          <w:color w:val="000000"/>
          <w:sz w:val="18"/>
          <w:szCs w:val="18"/>
        </w:rPr>
        <w:t>Fair values</w:t>
      </w:r>
    </w:p>
    <w:p w14:paraId="2E360CDA" w14:textId="77777777" w:rsidR="00744BE1" w:rsidRPr="00744BE1" w:rsidRDefault="00744BE1" w:rsidP="00744BE1">
      <w:pPr>
        <w:spacing w:after="0"/>
        <w:ind w:left="426"/>
        <w:rPr>
          <w:rFonts w:cs="Arial"/>
          <w:sz w:val="18"/>
          <w:szCs w:val="18"/>
          <w:lang w:eastAsia="en-GB"/>
        </w:rPr>
      </w:pPr>
      <w:r w:rsidRPr="00744BE1">
        <w:rPr>
          <w:rFonts w:cs="Arial"/>
          <w:sz w:val="18"/>
          <w:szCs w:val="18"/>
          <w:lang w:eastAsia="en-GB"/>
        </w:rPr>
        <w:t xml:space="preserve">Management assessed that the fair values of cash trade payables and other current liabilities approximate their carrying amounts largely due to the short-term maturities of these instruments. </w:t>
      </w:r>
    </w:p>
    <w:p w14:paraId="6A97CC0D" w14:textId="77777777" w:rsidR="007B08B8" w:rsidRPr="00AE77EA" w:rsidRDefault="007B08B8" w:rsidP="00744BE1">
      <w:pPr>
        <w:spacing w:after="0"/>
        <w:ind w:left="540"/>
        <w:rPr>
          <w:rFonts w:ascii="Times New Roman" w:hAnsi="Times New Roman"/>
          <w:lang w:val="en-CA"/>
        </w:rPr>
      </w:pPr>
    </w:p>
    <w:p w14:paraId="5C7C0C27" w14:textId="77777777" w:rsidR="00744BE1" w:rsidRPr="00744BE1"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744BE1">
        <w:rPr>
          <w:rFonts w:cs="Arial"/>
          <w:b/>
          <w:color w:val="000000"/>
          <w:sz w:val="18"/>
          <w:szCs w:val="18"/>
        </w:rPr>
        <w:t xml:space="preserve">CAPITAL MANAGEMENT POLICY </w:t>
      </w:r>
    </w:p>
    <w:p w14:paraId="1DEB108F" w14:textId="77777777" w:rsidR="00744BE1" w:rsidRDefault="00744BE1" w:rsidP="00744BE1">
      <w:pPr>
        <w:spacing w:after="0"/>
        <w:ind w:left="426"/>
        <w:rPr>
          <w:rFonts w:cs="Arial"/>
          <w:sz w:val="18"/>
          <w:szCs w:val="18"/>
          <w:lang w:eastAsia="en-GB"/>
        </w:rPr>
      </w:pPr>
      <w:r w:rsidRPr="00744BE1">
        <w:rPr>
          <w:rFonts w:cs="Arial"/>
          <w:sz w:val="18"/>
          <w:szCs w:val="18"/>
          <w:lang w:eastAsia="en-GB"/>
        </w:rPr>
        <w:t>The Company's objectives when managing capital are to safeguard the Company's ability to continue as a going concern in order to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14:paraId="5DE6F000" w14:textId="77777777" w:rsidR="003949D4" w:rsidRDefault="003949D4" w:rsidP="003949D4">
      <w:pPr>
        <w:tabs>
          <w:tab w:val="left" w:pos="567"/>
        </w:tabs>
        <w:autoSpaceDE w:val="0"/>
        <w:autoSpaceDN w:val="0"/>
        <w:adjustRightInd w:val="0"/>
        <w:spacing w:before="0" w:after="0"/>
        <w:ind w:left="426"/>
        <w:contextualSpacing/>
        <w:rPr>
          <w:rFonts w:cs="Arial"/>
          <w:b/>
          <w:color w:val="000000"/>
          <w:sz w:val="18"/>
          <w:szCs w:val="18"/>
        </w:rPr>
      </w:pPr>
    </w:p>
    <w:p w14:paraId="7F9216B9" w14:textId="77777777" w:rsidR="00744BE1" w:rsidRPr="00E32AB8" w:rsidRDefault="00744BE1" w:rsidP="002D49AD">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E32AB8">
        <w:rPr>
          <w:rFonts w:cs="Arial"/>
          <w:b/>
          <w:color w:val="000000"/>
          <w:sz w:val="18"/>
          <w:szCs w:val="18"/>
        </w:rPr>
        <w:t>FINANCIAL INSTRUMENTS</w:t>
      </w:r>
    </w:p>
    <w:p w14:paraId="227EB889" w14:textId="77777777" w:rsidR="00744BE1" w:rsidRPr="00E32AB8" w:rsidRDefault="00744BE1" w:rsidP="00744BE1">
      <w:pPr>
        <w:spacing w:after="0"/>
        <w:ind w:left="426"/>
        <w:rPr>
          <w:rFonts w:cs="Arial"/>
          <w:sz w:val="18"/>
          <w:szCs w:val="18"/>
          <w:lang w:eastAsia="en-GB"/>
        </w:rPr>
      </w:pPr>
      <w:r w:rsidRPr="00E32AB8">
        <w:rPr>
          <w:rFonts w:cs="Arial"/>
          <w:sz w:val="18"/>
          <w:szCs w:val="18"/>
          <w:lang w:eastAsia="en-GB"/>
        </w:rPr>
        <w:t xml:space="preserve">The Company’s principal financial instruments comprise </w:t>
      </w:r>
      <w:r w:rsidR="00654EF6">
        <w:rPr>
          <w:rFonts w:cs="Arial"/>
          <w:sz w:val="18"/>
          <w:szCs w:val="18"/>
          <w:lang w:eastAsia="en-GB"/>
        </w:rPr>
        <w:t xml:space="preserve">cash and cash equivalents </w:t>
      </w:r>
      <w:r w:rsidRPr="00E32AB8">
        <w:rPr>
          <w:rFonts w:cs="Arial"/>
          <w:sz w:val="18"/>
          <w:szCs w:val="18"/>
          <w:lang w:eastAsia="en-GB"/>
        </w:rPr>
        <w:t xml:space="preserve">and other payable. The Company’s accounting policies and method adopted, including the criteria for recognition, the basis on which income and expenses are recognised in respect of each class of financial assets, financial liability and equity instrument are set out </w:t>
      </w:r>
      <w:r w:rsidRPr="00F759D1">
        <w:rPr>
          <w:rFonts w:cs="Arial"/>
          <w:sz w:val="18"/>
          <w:szCs w:val="18"/>
          <w:lang w:eastAsia="en-GB"/>
        </w:rPr>
        <w:t>in Note 2.</w:t>
      </w:r>
      <w:r w:rsidRPr="00E32AB8">
        <w:rPr>
          <w:rFonts w:cs="Arial"/>
          <w:sz w:val="18"/>
          <w:szCs w:val="18"/>
          <w:lang w:eastAsia="en-GB"/>
        </w:rPr>
        <w:t xml:space="preserve"> The Company do not use financial instruments for speculative purposes.</w:t>
      </w:r>
    </w:p>
    <w:p w14:paraId="727A2706" w14:textId="77777777" w:rsidR="00744BE1" w:rsidRPr="00E32AB8" w:rsidRDefault="00744BE1" w:rsidP="00744BE1">
      <w:pPr>
        <w:spacing w:after="0"/>
        <w:ind w:left="426"/>
        <w:rPr>
          <w:rFonts w:cs="Arial"/>
          <w:sz w:val="18"/>
          <w:szCs w:val="18"/>
          <w:lang w:eastAsia="en-GB"/>
        </w:rPr>
      </w:pPr>
      <w:r w:rsidRPr="00E32AB8">
        <w:rPr>
          <w:rFonts w:cs="Arial"/>
          <w:sz w:val="18"/>
          <w:szCs w:val="18"/>
          <w:lang w:eastAsia="en-GB"/>
        </w:rPr>
        <w:t>The principal financial instruments used by the Company, from which financial instrument risk arises, are as follows:</w:t>
      </w:r>
    </w:p>
    <w:p w14:paraId="5338076A" w14:textId="77777777" w:rsidR="00744BE1" w:rsidRPr="00AB757A" w:rsidRDefault="00744BE1" w:rsidP="00744BE1">
      <w:pPr>
        <w:spacing w:after="0"/>
        <w:ind w:left="426"/>
        <w:rPr>
          <w:rFonts w:ascii="Times New Roman" w:hAnsi="Times New Roman"/>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9"/>
        <w:gridCol w:w="318"/>
        <w:gridCol w:w="1333"/>
        <w:gridCol w:w="1076"/>
      </w:tblGrid>
      <w:tr w:rsidR="00E32AB8" w:rsidRPr="001B2D7A" w14:paraId="54EB81FB" w14:textId="77777777" w:rsidTr="00690B73">
        <w:tc>
          <w:tcPr>
            <w:tcW w:w="5919" w:type="dxa"/>
          </w:tcPr>
          <w:p w14:paraId="27815FA0" w14:textId="77777777" w:rsidR="00E32AB8" w:rsidRPr="00020A3E" w:rsidRDefault="00E32AB8" w:rsidP="00E32AB8">
            <w:pPr>
              <w:autoSpaceDE w:val="0"/>
              <w:autoSpaceDN w:val="0"/>
              <w:adjustRightInd w:val="0"/>
              <w:jc w:val="center"/>
              <w:rPr>
                <w:rFonts w:ascii="Times New Roman" w:hAnsi="Times New Roman"/>
                <w:b/>
                <w:color w:val="000000"/>
                <w:lang w:eastAsia="en-GB"/>
              </w:rPr>
            </w:pPr>
          </w:p>
        </w:tc>
        <w:tc>
          <w:tcPr>
            <w:tcW w:w="318" w:type="dxa"/>
          </w:tcPr>
          <w:p w14:paraId="293E491B" w14:textId="77777777" w:rsidR="00E32AB8" w:rsidRPr="00020A3E" w:rsidRDefault="00E32AB8" w:rsidP="00E32AB8">
            <w:pPr>
              <w:autoSpaceDE w:val="0"/>
              <w:autoSpaceDN w:val="0"/>
              <w:adjustRightInd w:val="0"/>
              <w:jc w:val="right"/>
              <w:rPr>
                <w:rFonts w:ascii="Times New Roman" w:hAnsi="Times New Roman"/>
                <w:b/>
                <w:color w:val="000000"/>
                <w:lang w:eastAsia="en-GB"/>
              </w:rPr>
            </w:pPr>
          </w:p>
        </w:tc>
        <w:tc>
          <w:tcPr>
            <w:tcW w:w="1333" w:type="dxa"/>
          </w:tcPr>
          <w:p w14:paraId="55874B54" w14:textId="77777777" w:rsidR="00E32AB8" w:rsidRDefault="00E32AB8" w:rsidP="00E32AB8">
            <w:pPr>
              <w:autoSpaceDE w:val="0"/>
              <w:autoSpaceDN w:val="0"/>
              <w:adjustRightInd w:val="0"/>
              <w:jc w:val="right"/>
              <w:rPr>
                <w:rFonts w:cs="Arial"/>
                <w:sz w:val="18"/>
                <w:szCs w:val="18"/>
                <w:lang w:eastAsia="en-GB"/>
              </w:rPr>
            </w:pPr>
            <w:r>
              <w:rPr>
                <w:rFonts w:cs="Arial"/>
                <w:sz w:val="18"/>
                <w:szCs w:val="18"/>
                <w:lang w:eastAsia="en-GB"/>
              </w:rPr>
              <w:t>20</w:t>
            </w:r>
            <w:r w:rsidR="00C17167">
              <w:rPr>
                <w:rFonts w:cs="Arial"/>
                <w:sz w:val="18"/>
                <w:szCs w:val="18"/>
                <w:lang w:eastAsia="en-GB"/>
              </w:rPr>
              <w:t>2</w:t>
            </w:r>
            <w:r w:rsidR="003F10B3">
              <w:rPr>
                <w:rFonts w:cs="Arial"/>
                <w:sz w:val="18"/>
                <w:szCs w:val="18"/>
                <w:lang w:eastAsia="en-GB"/>
              </w:rPr>
              <w:t>3</w:t>
            </w:r>
          </w:p>
          <w:p w14:paraId="4261AA09" w14:textId="77777777" w:rsidR="00E32AB8" w:rsidRPr="00E32AB8" w:rsidRDefault="00E32AB8" w:rsidP="00E32AB8">
            <w:pPr>
              <w:autoSpaceDE w:val="0"/>
              <w:autoSpaceDN w:val="0"/>
              <w:adjustRightInd w:val="0"/>
              <w:jc w:val="right"/>
              <w:rPr>
                <w:rFonts w:cs="Arial"/>
                <w:sz w:val="18"/>
                <w:szCs w:val="18"/>
                <w:lang w:eastAsia="en-GB"/>
              </w:rPr>
            </w:pPr>
            <w:r w:rsidRPr="00E32AB8">
              <w:rPr>
                <w:rFonts w:cs="Arial"/>
                <w:sz w:val="18"/>
                <w:szCs w:val="18"/>
                <w:lang w:eastAsia="en-GB"/>
              </w:rPr>
              <w:t>£</w:t>
            </w:r>
          </w:p>
        </w:tc>
        <w:tc>
          <w:tcPr>
            <w:tcW w:w="1076" w:type="dxa"/>
          </w:tcPr>
          <w:p w14:paraId="37C4F0EA" w14:textId="77777777" w:rsidR="00E32AB8" w:rsidRDefault="00AA5945" w:rsidP="00E32AB8">
            <w:pPr>
              <w:autoSpaceDE w:val="0"/>
              <w:autoSpaceDN w:val="0"/>
              <w:adjustRightInd w:val="0"/>
              <w:jc w:val="right"/>
              <w:rPr>
                <w:rFonts w:cs="Arial"/>
                <w:sz w:val="18"/>
                <w:szCs w:val="18"/>
                <w:lang w:eastAsia="en-GB"/>
              </w:rPr>
            </w:pPr>
            <w:r>
              <w:rPr>
                <w:rFonts w:cs="Arial"/>
                <w:sz w:val="18"/>
                <w:szCs w:val="18"/>
                <w:lang w:eastAsia="en-GB"/>
              </w:rPr>
              <w:t>202</w:t>
            </w:r>
            <w:r w:rsidR="003F10B3">
              <w:rPr>
                <w:rFonts w:cs="Arial"/>
                <w:sz w:val="18"/>
                <w:szCs w:val="18"/>
                <w:lang w:eastAsia="en-GB"/>
              </w:rPr>
              <w:t>2</w:t>
            </w:r>
          </w:p>
          <w:p w14:paraId="195B0C17" w14:textId="77777777" w:rsidR="00E32AB8" w:rsidRPr="00E32AB8" w:rsidRDefault="00E32AB8" w:rsidP="00E32AB8">
            <w:pPr>
              <w:autoSpaceDE w:val="0"/>
              <w:autoSpaceDN w:val="0"/>
              <w:adjustRightInd w:val="0"/>
              <w:jc w:val="right"/>
              <w:rPr>
                <w:rFonts w:cs="Arial"/>
                <w:sz w:val="18"/>
                <w:szCs w:val="18"/>
                <w:lang w:eastAsia="en-GB"/>
              </w:rPr>
            </w:pPr>
            <w:r w:rsidRPr="00E32AB8">
              <w:rPr>
                <w:rFonts w:cs="Arial"/>
                <w:sz w:val="18"/>
                <w:szCs w:val="18"/>
                <w:lang w:eastAsia="en-GB"/>
              </w:rPr>
              <w:t>£</w:t>
            </w:r>
          </w:p>
        </w:tc>
      </w:tr>
      <w:tr w:rsidR="00E32AB8" w:rsidRPr="001B2D7A" w14:paraId="534E1902" w14:textId="77777777" w:rsidTr="00BA22DC">
        <w:tc>
          <w:tcPr>
            <w:tcW w:w="5919" w:type="dxa"/>
          </w:tcPr>
          <w:p w14:paraId="69E659CA" w14:textId="77777777" w:rsidR="00E32AB8" w:rsidRPr="00E32AB8" w:rsidRDefault="00E32AB8" w:rsidP="00E32AB8">
            <w:pPr>
              <w:autoSpaceDE w:val="0"/>
              <w:autoSpaceDN w:val="0"/>
              <w:adjustRightInd w:val="0"/>
              <w:rPr>
                <w:rFonts w:cs="Arial"/>
                <w:b/>
                <w:sz w:val="18"/>
                <w:szCs w:val="18"/>
                <w:lang w:eastAsia="en-GB"/>
              </w:rPr>
            </w:pPr>
            <w:r w:rsidRPr="00E32AB8">
              <w:rPr>
                <w:rFonts w:cs="Arial"/>
                <w:b/>
                <w:sz w:val="18"/>
                <w:szCs w:val="18"/>
                <w:lang w:eastAsia="en-GB"/>
              </w:rPr>
              <w:t>Financial assets</w:t>
            </w:r>
          </w:p>
        </w:tc>
        <w:tc>
          <w:tcPr>
            <w:tcW w:w="318" w:type="dxa"/>
            <w:vAlign w:val="bottom"/>
          </w:tcPr>
          <w:p w14:paraId="450F91E5" w14:textId="77777777" w:rsidR="00E32AB8" w:rsidRPr="00E32AB8" w:rsidRDefault="00E32AB8" w:rsidP="00E32AB8">
            <w:pPr>
              <w:autoSpaceDE w:val="0"/>
              <w:autoSpaceDN w:val="0"/>
              <w:adjustRightInd w:val="0"/>
              <w:jc w:val="right"/>
              <w:rPr>
                <w:rFonts w:cs="Arial"/>
                <w:sz w:val="18"/>
                <w:szCs w:val="18"/>
                <w:lang w:eastAsia="en-GB"/>
              </w:rPr>
            </w:pPr>
          </w:p>
        </w:tc>
        <w:tc>
          <w:tcPr>
            <w:tcW w:w="1333" w:type="dxa"/>
            <w:vAlign w:val="bottom"/>
          </w:tcPr>
          <w:p w14:paraId="015CCD2C" w14:textId="77777777" w:rsidR="00E32AB8" w:rsidRPr="00E32AB8" w:rsidRDefault="00E32AB8" w:rsidP="00E32AB8">
            <w:pPr>
              <w:autoSpaceDE w:val="0"/>
              <w:autoSpaceDN w:val="0"/>
              <w:adjustRightInd w:val="0"/>
              <w:jc w:val="right"/>
              <w:rPr>
                <w:rFonts w:cs="Arial"/>
                <w:sz w:val="18"/>
                <w:szCs w:val="18"/>
                <w:lang w:eastAsia="en-GB"/>
              </w:rPr>
            </w:pPr>
          </w:p>
        </w:tc>
        <w:tc>
          <w:tcPr>
            <w:tcW w:w="1076" w:type="dxa"/>
            <w:vAlign w:val="bottom"/>
          </w:tcPr>
          <w:p w14:paraId="6037AF54" w14:textId="77777777" w:rsidR="00E32AB8" w:rsidRPr="00E32AB8" w:rsidRDefault="00E32AB8" w:rsidP="00E32AB8">
            <w:pPr>
              <w:autoSpaceDE w:val="0"/>
              <w:autoSpaceDN w:val="0"/>
              <w:adjustRightInd w:val="0"/>
              <w:jc w:val="right"/>
              <w:rPr>
                <w:rFonts w:cs="Arial"/>
                <w:sz w:val="18"/>
                <w:szCs w:val="18"/>
                <w:lang w:eastAsia="en-GB"/>
              </w:rPr>
            </w:pPr>
          </w:p>
        </w:tc>
      </w:tr>
      <w:tr w:rsidR="003F10B3" w:rsidRPr="002537F2" w14:paraId="49BE8D8F" w14:textId="77777777" w:rsidTr="00BA22DC">
        <w:tc>
          <w:tcPr>
            <w:tcW w:w="5919" w:type="dxa"/>
          </w:tcPr>
          <w:p w14:paraId="762251D1" w14:textId="77777777" w:rsidR="003F10B3" w:rsidRPr="00E32AB8" w:rsidRDefault="003F10B3" w:rsidP="003F10B3">
            <w:pPr>
              <w:autoSpaceDE w:val="0"/>
              <w:autoSpaceDN w:val="0"/>
              <w:adjustRightInd w:val="0"/>
              <w:ind w:left="176"/>
              <w:rPr>
                <w:rFonts w:cs="Arial"/>
                <w:sz w:val="18"/>
                <w:szCs w:val="18"/>
                <w:lang w:eastAsia="en-GB"/>
              </w:rPr>
            </w:pPr>
            <w:r>
              <w:rPr>
                <w:rFonts w:cs="Arial"/>
                <w:sz w:val="18"/>
                <w:szCs w:val="18"/>
                <w:lang w:eastAsia="en-GB"/>
              </w:rPr>
              <w:t>Cash and cash equivalents</w:t>
            </w:r>
          </w:p>
        </w:tc>
        <w:tc>
          <w:tcPr>
            <w:tcW w:w="318" w:type="dxa"/>
            <w:vAlign w:val="bottom"/>
          </w:tcPr>
          <w:p w14:paraId="1DA9B4F1" w14:textId="77777777" w:rsidR="003F10B3" w:rsidRPr="00E32AB8" w:rsidRDefault="003F10B3" w:rsidP="003F10B3">
            <w:pPr>
              <w:autoSpaceDE w:val="0"/>
              <w:autoSpaceDN w:val="0"/>
              <w:adjustRightInd w:val="0"/>
              <w:jc w:val="right"/>
              <w:rPr>
                <w:rFonts w:cs="Arial"/>
                <w:sz w:val="18"/>
                <w:szCs w:val="18"/>
                <w:lang w:eastAsia="en-GB"/>
              </w:rPr>
            </w:pPr>
          </w:p>
        </w:tc>
        <w:tc>
          <w:tcPr>
            <w:tcW w:w="1333" w:type="dxa"/>
            <w:vAlign w:val="bottom"/>
          </w:tcPr>
          <w:p w14:paraId="128F3854" w14:textId="77777777" w:rsidR="003F10B3" w:rsidRPr="00E32AB8" w:rsidRDefault="004856E9" w:rsidP="003F10B3">
            <w:pPr>
              <w:autoSpaceDE w:val="0"/>
              <w:autoSpaceDN w:val="0"/>
              <w:adjustRightInd w:val="0"/>
              <w:jc w:val="right"/>
              <w:rPr>
                <w:rFonts w:cs="Arial"/>
                <w:sz w:val="18"/>
                <w:szCs w:val="18"/>
                <w:lang w:eastAsia="en-GB"/>
              </w:rPr>
            </w:pPr>
            <w:r>
              <w:rPr>
                <w:rFonts w:cs="Arial"/>
                <w:sz w:val="18"/>
                <w:szCs w:val="18"/>
                <w:lang w:eastAsia="en-GB"/>
              </w:rPr>
              <w:t>48,210</w:t>
            </w:r>
          </w:p>
        </w:tc>
        <w:tc>
          <w:tcPr>
            <w:tcW w:w="1076" w:type="dxa"/>
            <w:vAlign w:val="bottom"/>
          </w:tcPr>
          <w:p w14:paraId="1B709987" w14:textId="77777777" w:rsidR="003F10B3" w:rsidRPr="00E32AB8" w:rsidRDefault="003F10B3" w:rsidP="003F10B3">
            <w:pPr>
              <w:autoSpaceDE w:val="0"/>
              <w:autoSpaceDN w:val="0"/>
              <w:adjustRightInd w:val="0"/>
              <w:jc w:val="right"/>
              <w:rPr>
                <w:rFonts w:cs="Arial"/>
                <w:sz w:val="18"/>
                <w:szCs w:val="18"/>
                <w:lang w:eastAsia="en-GB"/>
              </w:rPr>
            </w:pPr>
            <w:r>
              <w:rPr>
                <w:rFonts w:cs="Arial"/>
                <w:sz w:val="18"/>
                <w:szCs w:val="18"/>
                <w:lang w:eastAsia="en-GB"/>
              </w:rPr>
              <w:t>200,354</w:t>
            </w:r>
          </w:p>
        </w:tc>
      </w:tr>
      <w:tr w:rsidR="003F10B3" w:rsidRPr="002537F2" w14:paraId="1A3E68AD" w14:textId="77777777" w:rsidTr="00690B73">
        <w:trPr>
          <w:trHeight w:val="80"/>
        </w:trPr>
        <w:tc>
          <w:tcPr>
            <w:tcW w:w="5919" w:type="dxa"/>
          </w:tcPr>
          <w:p w14:paraId="2E4985A9" w14:textId="77777777" w:rsidR="003F10B3" w:rsidRPr="00E32AB8" w:rsidRDefault="003F10B3" w:rsidP="003F10B3">
            <w:pPr>
              <w:autoSpaceDE w:val="0"/>
              <w:autoSpaceDN w:val="0"/>
              <w:adjustRightInd w:val="0"/>
              <w:rPr>
                <w:rFonts w:cs="Arial"/>
                <w:b/>
                <w:sz w:val="18"/>
                <w:szCs w:val="18"/>
                <w:lang w:eastAsia="en-GB"/>
              </w:rPr>
            </w:pPr>
            <w:r w:rsidRPr="00E32AB8">
              <w:rPr>
                <w:rFonts w:cs="Arial"/>
                <w:b/>
                <w:sz w:val="18"/>
                <w:szCs w:val="18"/>
                <w:lang w:eastAsia="en-GB"/>
              </w:rPr>
              <w:t>Total financial assets</w:t>
            </w:r>
          </w:p>
        </w:tc>
        <w:tc>
          <w:tcPr>
            <w:tcW w:w="318" w:type="dxa"/>
            <w:vAlign w:val="bottom"/>
          </w:tcPr>
          <w:p w14:paraId="55996EA6" w14:textId="77777777" w:rsidR="003F10B3" w:rsidRPr="00E32AB8" w:rsidRDefault="003F10B3" w:rsidP="003F10B3">
            <w:pPr>
              <w:autoSpaceDE w:val="0"/>
              <w:autoSpaceDN w:val="0"/>
              <w:adjustRightInd w:val="0"/>
              <w:jc w:val="right"/>
              <w:rPr>
                <w:rFonts w:cs="Arial"/>
                <w:sz w:val="18"/>
                <w:szCs w:val="18"/>
                <w:lang w:eastAsia="en-GB"/>
              </w:rPr>
            </w:pPr>
          </w:p>
        </w:tc>
        <w:tc>
          <w:tcPr>
            <w:tcW w:w="1333" w:type="dxa"/>
            <w:tcBorders>
              <w:top w:val="single" w:sz="4" w:space="0" w:color="auto"/>
              <w:bottom w:val="single" w:sz="4" w:space="0" w:color="auto"/>
            </w:tcBorders>
            <w:vAlign w:val="bottom"/>
          </w:tcPr>
          <w:p w14:paraId="7A36B05E" w14:textId="77777777" w:rsidR="003F10B3" w:rsidRPr="00E32AB8" w:rsidRDefault="004856E9" w:rsidP="003F10B3">
            <w:pPr>
              <w:autoSpaceDE w:val="0"/>
              <w:autoSpaceDN w:val="0"/>
              <w:adjustRightInd w:val="0"/>
              <w:jc w:val="right"/>
              <w:rPr>
                <w:rFonts w:cs="Arial"/>
                <w:sz w:val="18"/>
                <w:szCs w:val="18"/>
                <w:lang w:eastAsia="en-GB"/>
              </w:rPr>
            </w:pPr>
            <w:r>
              <w:rPr>
                <w:rFonts w:cs="Arial"/>
                <w:sz w:val="18"/>
                <w:szCs w:val="18"/>
                <w:lang w:eastAsia="en-GB"/>
              </w:rPr>
              <w:t>48,210</w:t>
            </w:r>
          </w:p>
        </w:tc>
        <w:tc>
          <w:tcPr>
            <w:tcW w:w="1076" w:type="dxa"/>
            <w:tcBorders>
              <w:top w:val="single" w:sz="4" w:space="0" w:color="auto"/>
              <w:bottom w:val="single" w:sz="4" w:space="0" w:color="auto"/>
            </w:tcBorders>
            <w:vAlign w:val="bottom"/>
          </w:tcPr>
          <w:p w14:paraId="1F18ECBA" w14:textId="77777777" w:rsidR="003F10B3" w:rsidRPr="00E32AB8" w:rsidRDefault="003F10B3" w:rsidP="003F10B3">
            <w:pPr>
              <w:autoSpaceDE w:val="0"/>
              <w:autoSpaceDN w:val="0"/>
              <w:adjustRightInd w:val="0"/>
              <w:jc w:val="right"/>
              <w:rPr>
                <w:rFonts w:cs="Arial"/>
                <w:sz w:val="18"/>
                <w:szCs w:val="18"/>
                <w:lang w:eastAsia="en-GB"/>
              </w:rPr>
            </w:pPr>
            <w:r>
              <w:rPr>
                <w:rFonts w:cs="Arial"/>
                <w:sz w:val="18"/>
                <w:szCs w:val="18"/>
                <w:lang w:eastAsia="en-GB"/>
              </w:rPr>
              <w:t>200,354</w:t>
            </w:r>
          </w:p>
        </w:tc>
      </w:tr>
      <w:tr w:rsidR="003F10B3" w:rsidRPr="001B2D7A" w14:paraId="69E314DB" w14:textId="77777777" w:rsidTr="00711C9B">
        <w:tc>
          <w:tcPr>
            <w:tcW w:w="5919" w:type="dxa"/>
          </w:tcPr>
          <w:p w14:paraId="674264CD" w14:textId="77777777" w:rsidR="003F10B3" w:rsidRPr="00E32AB8" w:rsidRDefault="003F10B3" w:rsidP="003F10B3">
            <w:pPr>
              <w:autoSpaceDE w:val="0"/>
              <w:autoSpaceDN w:val="0"/>
              <w:adjustRightInd w:val="0"/>
              <w:rPr>
                <w:rFonts w:cs="Arial"/>
                <w:b/>
                <w:sz w:val="18"/>
                <w:szCs w:val="18"/>
                <w:lang w:eastAsia="en-GB"/>
              </w:rPr>
            </w:pPr>
            <w:r w:rsidRPr="00E32AB8">
              <w:rPr>
                <w:rFonts w:cs="Arial"/>
                <w:b/>
                <w:sz w:val="18"/>
                <w:szCs w:val="18"/>
                <w:lang w:eastAsia="en-GB"/>
              </w:rPr>
              <w:t>Financial liabilities measured at amortised cost</w:t>
            </w:r>
          </w:p>
        </w:tc>
        <w:tc>
          <w:tcPr>
            <w:tcW w:w="318" w:type="dxa"/>
            <w:vAlign w:val="bottom"/>
          </w:tcPr>
          <w:p w14:paraId="7921EFE6" w14:textId="77777777" w:rsidR="003F10B3" w:rsidRPr="00E32AB8" w:rsidRDefault="003F10B3" w:rsidP="003F10B3">
            <w:pPr>
              <w:autoSpaceDE w:val="0"/>
              <w:autoSpaceDN w:val="0"/>
              <w:adjustRightInd w:val="0"/>
              <w:jc w:val="right"/>
              <w:rPr>
                <w:rFonts w:cs="Arial"/>
                <w:sz w:val="18"/>
                <w:szCs w:val="18"/>
                <w:lang w:eastAsia="en-GB"/>
              </w:rPr>
            </w:pPr>
          </w:p>
        </w:tc>
        <w:tc>
          <w:tcPr>
            <w:tcW w:w="1333" w:type="dxa"/>
            <w:tcBorders>
              <w:top w:val="single" w:sz="4" w:space="0" w:color="auto"/>
            </w:tcBorders>
            <w:vAlign w:val="bottom"/>
          </w:tcPr>
          <w:p w14:paraId="25FD4C2F" w14:textId="77777777" w:rsidR="003F10B3" w:rsidRPr="00E32AB8" w:rsidRDefault="003F10B3" w:rsidP="003F10B3">
            <w:pPr>
              <w:autoSpaceDE w:val="0"/>
              <w:autoSpaceDN w:val="0"/>
              <w:adjustRightInd w:val="0"/>
              <w:jc w:val="right"/>
              <w:rPr>
                <w:rFonts w:cs="Arial"/>
                <w:sz w:val="18"/>
                <w:szCs w:val="18"/>
                <w:lang w:eastAsia="en-GB"/>
              </w:rPr>
            </w:pPr>
          </w:p>
        </w:tc>
        <w:tc>
          <w:tcPr>
            <w:tcW w:w="1076" w:type="dxa"/>
            <w:tcBorders>
              <w:top w:val="single" w:sz="4" w:space="0" w:color="auto"/>
            </w:tcBorders>
            <w:vAlign w:val="bottom"/>
          </w:tcPr>
          <w:p w14:paraId="016063D8" w14:textId="77777777" w:rsidR="003F10B3" w:rsidRPr="00E32AB8" w:rsidRDefault="003F10B3" w:rsidP="003F10B3">
            <w:pPr>
              <w:autoSpaceDE w:val="0"/>
              <w:autoSpaceDN w:val="0"/>
              <w:adjustRightInd w:val="0"/>
              <w:jc w:val="right"/>
              <w:rPr>
                <w:rFonts w:cs="Arial"/>
                <w:sz w:val="18"/>
                <w:szCs w:val="18"/>
                <w:lang w:eastAsia="en-GB"/>
              </w:rPr>
            </w:pPr>
          </w:p>
        </w:tc>
      </w:tr>
      <w:tr w:rsidR="003F10B3" w:rsidRPr="002F6A71" w14:paraId="15B87232" w14:textId="77777777" w:rsidTr="00711C9B">
        <w:tc>
          <w:tcPr>
            <w:tcW w:w="5919" w:type="dxa"/>
          </w:tcPr>
          <w:p w14:paraId="47A40906" w14:textId="77777777" w:rsidR="003F10B3" w:rsidRPr="00E32AB8" w:rsidRDefault="003F10B3" w:rsidP="003F10B3">
            <w:pPr>
              <w:autoSpaceDE w:val="0"/>
              <w:autoSpaceDN w:val="0"/>
              <w:adjustRightInd w:val="0"/>
              <w:ind w:left="176"/>
              <w:rPr>
                <w:rFonts w:cs="Arial"/>
                <w:sz w:val="18"/>
                <w:szCs w:val="18"/>
                <w:lang w:eastAsia="en-GB"/>
              </w:rPr>
            </w:pPr>
            <w:r>
              <w:rPr>
                <w:rFonts w:cs="Arial"/>
                <w:sz w:val="18"/>
                <w:szCs w:val="18"/>
                <w:lang w:eastAsia="en-GB"/>
              </w:rPr>
              <w:t>Trade and o</w:t>
            </w:r>
            <w:r w:rsidRPr="00E32AB8">
              <w:rPr>
                <w:rFonts w:cs="Arial"/>
                <w:sz w:val="18"/>
                <w:szCs w:val="18"/>
                <w:lang w:eastAsia="en-GB"/>
              </w:rPr>
              <w:t>ther payables</w:t>
            </w:r>
          </w:p>
        </w:tc>
        <w:tc>
          <w:tcPr>
            <w:tcW w:w="318" w:type="dxa"/>
            <w:vAlign w:val="bottom"/>
          </w:tcPr>
          <w:p w14:paraId="7AFB0CF5" w14:textId="77777777" w:rsidR="003F10B3" w:rsidRPr="00E32AB8" w:rsidRDefault="003F10B3" w:rsidP="003F10B3">
            <w:pPr>
              <w:autoSpaceDE w:val="0"/>
              <w:autoSpaceDN w:val="0"/>
              <w:adjustRightInd w:val="0"/>
              <w:jc w:val="right"/>
              <w:rPr>
                <w:rFonts w:cs="Arial"/>
                <w:sz w:val="18"/>
                <w:szCs w:val="18"/>
                <w:lang w:eastAsia="en-GB"/>
              </w:rPr>
            </w:pPr>
          </w:p>
        </w:tc>
        <w:tc>
          <w:tcPr>
            <w:tcW w:w="1333" w:type="dxa"/>
            <w:vAlign w:val="bottom"/>
          </w:tcPr>
          <w:p w14:paraId="0C2D14C8" w14:textId="4370FFC8" w:rsidR="003F10B3" w:rsidRPr="00E32AB8" w:rsidRDefault="00E3420F" w:rsidP="003F10B3">
            <w:pPr>
              <w:autoSpaceDE w:val="0"/>
              <w:autoSpaceDN w:val="0"/>
              <w:adjustRightInd w:val="0"/>
              <w:jc w:val="right"/>
              <w:rPr>
                <w:rFonts w:cs="Arial"/>
                <w:sz w:val="18"/>
                <w:szCs w:val="18"/>
                <w:lang w:eastAsia="en-GB"/>
              </w:rPr>
            </w:pPr>
            <w:r>
              <w:rPr>
                <w:rFonts w:cs="Arial"/>
                <w:sz w:val="18"/>
                <w:szCs w:val="18"/>
                <w:lang w:eastAsia="en-GB"/>
              </w:rPr>
              <w:t>48,898</w:t>
            </w:r>
          </w:p>
        </w:tc>
        <w:tc>
          <w:tcPr>
            <w:tcW w:w="1076" w:type="dxa"/>
            <w:vAlign w:val="bottom"/>
          </w:tcPr>
          <w:p w14:paraId="38830736" w14:textId="77777777" w:rsidR="003F10B3" w:rsidRPr="00E32AB8" w:rsidRDefault="003F10B3" w:rsidP="003F10B3">
            <w:pPr>
              <w:autoSpaceDE w:val="0"/>
              <w:autoSpaceDN w:val="0"/>
              <w:adjustRightInd w:val="0"/>
              <w:jc w:val="right"/>
              <w:rPr>
                <w:rFonts w:cs="Arial"/>
                <w:sz w:val="18"/>
                <w:szCs w:val="18"/>
                <w:lang w:eastAsia="en-GB"/>
              </w:rPr>
            </w:pPr>
            <w:r>
              <w:rPr>
                <w:rFonts w:cs="Arial"/>
                <w:sz w:val="18"/>
                <w:szCs w:val="18"/>
                <w:lang w:eastAsia="en-GB"/>
              </w:rPr>
              <w:t>27,554</w:t>
            </w:r>
          </w:p>
        </w:tc>
      </w:tr>
      <w:tr w:rsidR="003F10B3" w:rsidRPr="002F6A71" w14:paraId="02594B25" w14:textId="77777777" w:rsidTr="00711C9B">
        <w:tc>
          <w:tcPr>
            <w:tcW w:w="5919" w:type="dxa"/>
          </w:tcPr>
          <w:p w14:paraId="600197E4" w14:textId="77777777" w:rsidR="003F10B3" w:rsidRDefault="003F10B3" w:rsidP="003F10B3">
            <w:pPr>
              <w:autoSpaceDE w:val="0"/>
              <w:autoSpaceDN w:val="0"/>
              <w:adjustRightInd w:val="0"/>
              <w:ind w:left="176"/>
              <w:rPr>
                <w:rFonts w:cs="Arial"/>
                <w:sz w:val="18"/>
                <w:szCs w:val="18"/>
                <w:lang w:eastAsia="en-GB"/>
              </w:rPr>
            </w:pPr>
            <w:r>
              <w:rPr>
                <w:rFonts w:cs="Arial"/>
                <w:sz w:val="18"/>
                <w:szCs w:val="18"/>
                <w:lang w:eastAsia="en-GB"/>
              </w:rPr>
              <w:lastRenderedPageBreak/>
              <w:t>Borrowings</w:t>
            </w:r>
          </w:p>
        </w:tc>
        <w:tc>
          <w:tcPr>
            <w:tcW w:w="318" w:type="dxa"/>
            <w:vAlign w:val="bottom"/>
          </w:tcPr>
          <w:p w14:paraId="382CFAB8" w14:textId="77777777" w:rsidR="003F10B3" w:rsidRPr="00E32AB8" w:rsidRDefault="003F10B3" w:rsidP="003F10B3">
            <w:pPr>
              <w:autoSpaceDE w:val="0"/>
              <w:autoSpaceDN w:val="0"/>
              <w:adjustRightInd w:val="0"/>
              <w:jc w:val="right"/>
              <w:rPr>
                <w:rFonts w:cs="Arial"/>
                <w:sz w:val="18"/>
                <w:szCs w:val="18"/>
                <w:lang w:eastAsia="en-GB"/>
              </w:rPr>
            </w:pPr>
          </w:p>
        </w:tc>
        <w:tc>
          <w:tcPr>
            <w:tcW w:w="1333" w:type="dxa"/>
            <w:tcBorders>
              <w:bottom w:val="single" w:sz="4" w:space="0" w:color="auto"/>
            </w:tcBorders>
            <w:vAlign w:val="bottom"/>
          </w:tcPr>
          <w:p w14:paraId="309B261C" w14:textId="77777777" w:rsidR="003F10B3" w:rsidRDefault="004856E9" w:rsidP="003F10B3">
            <w:pPr>
              <w:autoSpaceDE w:val="0"/>
              <w:autoSpaceDN w:val="0"/>
              <w:adjustRightInd w:val="0"/>
              <w:jc w:val="right"/>
              <w:rPr>
                <w:rFonts w:cs="Arial"/>
                <w:sz w:val="18"/>
                <w:szCs w:val="18"/>
                <w:lang w:eastAsia="en-GB"/>
              </w:rPr>
            </w:pPr>
            <w:r>
              <w:rPr>
                <w:rFonts w:ascii="Calibri" w:hAnsi="Calibri"/>
                <w:color w:val="000000"/>
                <w:kern w:val="0"/>
                <w:sz w:val="18"/>
                <w:szCs w:val="18"/>
              </w:rPr>
              <w:t>10,469</w:t>
            </w:r>
          </w:p>
        </w:tc>
        <w:tc>
          <w:tcPr>
            <w:tcW w:w="1076" w:type="dxa"/>
            <w:tcBorders>
              <w:bottom w:val="single" w:sz="4" w:space="0" w:color="auto"/>
            </w:tcBorders>
            <w:vAlign w:val="bottom"/>
          </w:tcPr>
          <w:p w14:paraId="4B11BBAA" w14:textId="77777777" w:rsidR="003F10B3" w:rsidRDefault="003F10B3" w:rsidP="003F10B3">
            <w:pPr>
              <w:autoSpaceDE w:val="0"/>
              <w:autoSpaceDN w:val="0"/>
              <w:adjustRightInd w:val="0"/>
              <w:jc w:val="right"/>
              <w:rPr>
                <w:rFonts w:cs="Arial"/>
                <w:sz w:val="18"/>
                <w:szCs w:val="18"/>
                <w:lang w:eastAsia="en-GB"/>
              </w:rPr>
            </w:pPr>
            <w:r>
              <w:rPr>
                <w:rFonts w:ascii="Calibri" w:hAnsi="Calibri"/>
                <w:color w:val="000000"/>
                <w:kern w:val="0"/>
                <w:sz w:val="18"/>
                <w:szCs w:val="18"/>
              </w:rPr>
              <w:t>10,469</w:t>
            </w:r>
          </w:p>
        </w:tc>
      </w:tr>
      <w:tr w:rsidR="003F10B3" w:rsidRPr="002F6A71" w14:paraId="2FDFC06B" w14:textId="77777777" w:rsidTr="00690B73">
        <w:tc>
          <w:tcPr>
            <w:tcW w:w="5919" w:type="dxa"/>
          </w:tcPr>
          <w:p w14:paraId="36A46A83" w14:textId="77777777" w:rsidR="003F10B3" w:rsidRPr="00E32AB8" w:rsidRDefault="003F10B3" w:rsidP="003F10B3">
            <w:pPr>
              <w:autoSpaceDE w:val="0"/>
              <w:autoSpaceDN w:val="0"/>
              <w:adjustRightInd w:val="0"/>
              <w:rPr>
                <w:rFonts w:cs="Arial"/>
                <w:b/>
                <w:sz w:val="18"/>
                <w:szCs w:val="18"/>
                <w:lang w:eastAsia="en-GB"/>
              </w:rPr>
            </w:pPr>
            <w:r w:rsidRPr="00E32AB8">
              <w:rPr>
                <w:rFonts w:cs="Arial"/>
                <w:b/>
                <w:sz w:val="18"/>
                <w:szCs w:val="18"/>
                <w:lang w:eastAsia="en-GB"/>
              </w:rPr>
              <w:t>Total financial liabilities</w:t>
            </w:r>
          </w:p>
        </w:tc>
        <w:tc>
          <w:tcPr>
            <w:tcW w:w="318" w:type="dxa"/>
            <w:vAlign w:val="bottom"/>
          </w:tcPr>
          <w:p w14:paraId="5C96F38A" w14:textId="77777777" w:rsidR="003F10B3" w:rsidRPr="00E32AB8" w:rsidRDefault="003F10B3" w:rsidP="003F10B3">
            <w:pPr>
              <w:autoSpaceDE w:val="0"/>
              <w:autoSpaceDN w:val="0"/>
              <w:adjustRightInd w:val="0"/>
              <w:jc w:val="right"/>
              <w:rPr>
                <w:rFonts w:cs="Arial"/>
                <w:sz w:val="18"/>
                <w:szCs w:val="18"/>
                <w:lang w:eastAsia="en-GB"/>
              </w:rPr>
            </w:pPr>
          </w:p>
        </w:tc>
        <w:tc>
          <w:tcPr>
            <w:tcW w:w="1333" w:type="dxa"/>
            <w:tcBorders>
              <w:top w:val="single" w:sz="4" w:space="0" w:color="auto"/>
              <w:bottom w:val="single" w:sz="4" w:space="0" w:color="auto"/>
            </w:tcBorders>
            <w:vAlign w:val="bottom"/>
          </w:tcPr>
          <w:p w14:paraId="2609DEB5" w14:textId="61116A7B" w:rsidR="003F10B3" w:rsidRPr="00E32AB8" w:rsidRDefault="00E3420F" w:rsidP="003F10B3">
            <w:pPr>
              <w:autoSpaceDE w:val="0"/>
              <w:autoSpaceDN w:val="0"/>
              <w:adjustRightInd w:val="0"/>
              <w:jc w:val="right"/>
              <w:rPr>
                <w:rFonts w:cs="Arial"/>
                <w:sz w:val="18"/>
                <w:szCs w:val="18"/>
                <w:lang w:eastAsia="en-GB"/>
              </w:rPr>
            </w:pPr>
            <w:r>
              <w:rPr>
                <w:rFonts w:cs="Arial"/>
                <w:sz w:val="18"/>
                <w:szCs w:val="18"/>
                <w:lang w:eastAsia="en-GB"/>
              </w:rPr>
              <w:t>59,367</w:t>
            </w:r>
          </w:p>
        </w:tc>
        <w:tc>
          <w:tcPr>
            <w:tcW w:w="1076" w:type="dxa"/>
            <w:tcBorders>
              <w:top w:val="single" w:sz="4" w:space="0" w:color="auto"/>
              <w:bottom w:val="single" w:sz="4" w:space="0" w:color="auto"/>
            </w:tcBorders>
            <w:vAlign w:val="bottom"/>
          </w:tcPr>
          <w:p w14:paraId="63B19CF8" w14:textId="77777777" w:rsidR="003F10B3" w:rsidRPr="00E32AB8" w:rsidRDefault="003F10B3" w:rsidP="003F10B3">
            <w:pPr>
              <w:autoSpaceDE w:val="0"/>
              <w:autoSpaceDN w:val="0"/>
              <w:adjustRightInd w:val="0"/>
              <w:jc w:val="right"/>
              <w:rPr>
                <w:rFonts w:cs="Arial"/>
                <w:sz w:val="18"/>
                <w:szCs w:val="18"/>
                <w:lang w:eastAsia="en-GB"/>
              </w:rPr>
            </w:pPr>
            <w:r>
              <w:rPr>
                <w:rFonts w:cs="Arial"/>
                <w:sz w:val="18"/>
                <w:szCs w:val="18"/>
                <w:lang w:eastAsia="en-GB"/>
              </w:rPr>
              <w:t>38,023</w:t>
            </w:r>
          </w:p>
        </w:tc>
      </w:tr>
    </w:tbl>
    <w:p w14:paraId="35E5990C" w14:textId="77777777" w:rsidR="00744BE1" w:rsidRPr="00E32AB8" w:rsidRDefault="00744BE1" w:rsidP="00744BE1">
      <w:pPr>
        <w:tabs>
          <w:tab w:val="left" w:pos="6521"/>
        </w:tabs>
        <w:spacing w:after="0"/>
        <w:ind w:left="426"/>
        <w:rPr>
          <w:rFonts w:cs="Arial"/>
          <w:sz w:val="18"/>
          <w:szCs w:val="18"/>
          <w:lang w:eastAsia="en-GB"/>
        </w:rPr>
      </w:pPr>
      <w:r w:rsidRPr="00E32AB8">
        <w:rPr>
          <w:rFonts w:cs="Arial"/>
          <w:sz w:val="18"/>
          <w:szCs w:val="18"/>
          <w:lang w:eastAsia="en-GB"/>
        </w:rPr>
        <w:t xml:space="preserve">There are no financial assets that are either past due or impaired. </w:t>
      </w:r>
      <w:r w:rsidR="006D02F9">
        <w:rPr>
          <w:rFonts w:cs="Arial"/>
          <w:sz w:val="18"/>
          <w:szCs w:val="18"/>
          <w:lang w:eastAsia="en-GB"/>
        </w:rPr>
        <w:t>The financial liabilities are due for payment in 1 to 3 months.</w:t>
      </w:r>
    </w:p>
    <w:p w14:paraId="442D2279" w14:textId="77777777" w:rsidR="00744BE1" w:rsidRDefault="00744BE1" w:rsidP="00744BE1">
      <w:pPr>
        <w:tabs>
          <w:tab w:val="left" w:pos="6521"/>
        </w:tabs>
        <w:spacing w:after="0"/>
        <w:ind w:left="426"/>
        <w:rPr>
          <w:rFonts w:ascii="Times New Roman" w:hAnsi="Times New Roman"/>
        </w:rPr>
      </w:pPr>
    </w:p>
    <w:p w14:paraId="12904FE1" w14:textId="77777777" w:rsidR="009A255B" w:rsidRPr="002967B1" w:rsidRDefault="009A255B"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Pr>
          <w:rFonts w:cs="Arial"/>
          <w:b/>
          <w:color w:val="000000"/>
          <w:sz w:val="18"/>
          <w:szCs w:val="18"/>
        </w:rPr>
        <w:t>LOSS PER SHARE</w:t>
      </w:r>
    </w:p>
    <w:p w14:paraId="45552EFF" w14:textId="77777777" w:rsidR="009A255B" w:rsidRPr="0076489C" w:rsidRDefault="009A255B" w:rsidP="009A255B">
      <w:pPr>
        <w:pStyle w:val="ListParagraph"/>
        <w:spacing w:after="0" w:line="240" w:lineRule="auto"/>
        <w:ind w:left="360"/>
        <w:rPr>
          <w:rFonts w:ascii="Arial" w:hAnsi="Arial" w:cs="Arial"/>
          <w:b/>
          <w:sz w:val="18"/>
          <w:szCs w:val="18"/>
        </w:rPr>
      </w:pPr>
    </w:p>
    <w:p w14:paraId="6FF8D8AE" w14:textId="77777777" w:rsidR="009A255B" w:rsidRPr="002967B1" w:rsidRDefault="009A255B" w:rsidP="002967B1">
      <w:pPr>
        <w:tabs>
          <w:tab w:val="left" w:pos="6521"/>
        </w:tabs>
        <w:spacing w:after="0"/>
        <w:ind w:left="426"/>
        <w:rPr>
          <w:rFonts w:cs="Arial"/>
          <w:sz w:val="18"/>
          <w:szCs w:val="18"/>
          <w:lang w:eastAsia="en-GB"/>
        </w:rPr>
      </w:pPr>
      <w:r w:rsidRPr="002967B1">
        <w:rPr>
          <w:rFonts w:cs="Arial"/>
          <w:sz w:val="18"/>
          <w:szCs w:val="18"/>
          <w:lang w:eastAsia="en-GB"/>
        </w:rPr>
        <w:t xml:space="preserve">The loss per share has been calculated using the </w:t>
      </w:r>
      <w:r>
        <w:rPr>
          <w:rFonts w:cs="Arial"/>
          <w:sz w:val="18"/>
          <w:szCs w:val="18"/>
          <w:lang w:eastAsia="en-GB"/>
        </w:rPr>
        <w:t>loss</w:t>
      </w:r>
      <w:r w:rsidRPr="002967B1">
        <w:rPr>
          <w:rFonts w:cs="Arial"/>
          <w:sz w:val="18"/>
          <w:szCs w:val="18"/>
          <w:lang w:eastAsia="en-GB"/>
        </w:rPr>
        <w:t xml:space="preserve"> for the </w:t>
      </w:r>
      <w:r>
        <w:rPr>
          <w:rFonts w:cs="Arial"/>
          <w:sz w:val="18"/>
          <w:szCs w:val="18"/>
          <w:lang w:eastAsia="en-GB"/>
        </w:rPr>
        <w:t>year</w:t>
      </w:r>
      <w:r w:rsidRPr="002967B1">
        <w:rPr>
          <w:rFonts w:cs="Arial"/>
          <w:sz w:val="18"/>
          <w:szCs w:val="18"/>
          <w:lang w:eastAsia="en-GB"/>
        </w:rPr>
        <w:t xml:space="preserve"> and the weighted average number of ordinary shares entitled to dividend rights which were outstanding during the </w:t>
      </w:r>
      <w:r>
        <w:rPr>
          <w:rFonts w:cs="Arial"/>
          <w:sz w:val="18"/>
          <w:szCs w:val="18"/>
          <w:lang w:eastAsia="en-GB"/>
        </w:rPr>
        <w:t>year. There were no potentially dilutive ordinary shares at the year end.</w:t>
      </w:r>
    </w:p>
    <w:p w14:paraId="389D8891" w14:textId="77777777" w:rsidR="009A255B" w:rsidRPr="0076489C" w:rsidRDefault="009A255B" w:rsidP="009A255B">
      <w:pPr>
        <w:tabs>
          <w:tab w:val="decimal" w:pos="7087"/>
          <w:tab w:val="decimal" w:pos="8504"/>
          <w:tab w:val="decimal" w:pos="9921"/>
        </w:tabs>
        <w:spacing w:after="0"/>
        <w:rPr>
          <w:rFonts w:ascii="Arial" w:hAnsi="Arial" w:cs="Arial"/>
          <w:sz w:val="18"/>
          <w:szCs w:val="18"/>
        </w:rPr>
      </w:pPr>
    </w:p>
    <w:tbl>
      <w:tblPr>
        <w:tblW w:w="4638" w:type="pct"/>
        <w:tblInd w:w="426" w:type="dxa"/>
        <w:tblLook w:val="0000" w:firstRow="0" w:lastRow="0" w:firstColumn="0" w:lastColumn="0" w:noHBand="0" w:noVBand="0"/>
      </w:tblPr>
      <w:tblGrid>
        <w:gridCol w:w="6237"/>
        <w:gridCol w:w="1275"/>
        <w:gridCol w:w="1116"/>
      </w:tblGrid>
      <w:tr w:rsidR="009A255B" w:rsidRPr="0076489C" w14:paraId="55B71E6B" w14:textId="77777777" w:rsidTr="00690B73">
        <w:trPr>
          <w:trHeight w:val="269"/>
        </w:trPr>
        <w:tc>
          <w:tcPr>
            <w:tcW w:w="3614" w:type="pct"/>
            <w:vAlign w:val="bottom"/>
          </w:tcPr>
          <w:p w14:paraId="0E8CF82C" w14:textId="77777777" w:rsidR="009A255B" w:rsidRPr="0076489C" w:rsidRDefault="009A255B" w:rsidP="009A255B">
            <w:pPr>
              <w:spacing w:after="0"/>
              <w:rPr>
                <w:rFonts w:ascii="Arial" w:hAnsi="Arial" w:cs="Arial"/>
                <w:sz w:val="18"/>
                <w:szCs w:val="18"/>
              </w:rPr>
            </w:pPr>
          </w:p>
        </w:tc>
        <w:tc>
          <w:tcPr>
            <w:tcW w:w="739" w:type="pct"/>
          </w:tcPr>
          <w:p w14:paraId="51196D20" w14:textId="77777777" w:rsidR="009A255B" w:rsidRPr="002967B1" w:rsidRDefault="009A255B" w:rsidP="002967B1">
            <w:pPr>
              <w:autoSpaceDE w:val="0"/>
              <w:autoSpaceDN w:val="0"/>
              <w:adjustRightInd w:val="0"/>
              <w:jc w:val="right"/>
              <w:rPr>
                <w:rFonts w:cs="Arial"/>
                <w:sz w:val="18"/>
                <w:szCs w:val="18"/>
                <w:lang w:eastAsia="en-GB"/>
              </w:rPr>
            </w:pPr>
            <w:r w:rsidRPr="002967B1">
              <w:rPr>
                <w:rFonts w:cs="Arial"/>
                <w:sz w:val="18"/>
                <w:szCs w:val="18"/>
                <w:lang w:eastAsia="en-GB"/>
              </w:rPr>
              <w:t>202</w:t>
            </w:r>
            <w:r w:rsidR="003F10B3">
              <w:rPr>
                <w:rFonts w:cs="Arial"/>
                <w:sz w:val="18"/>
                <w:szCs w:val="18"/>
                <w:lang w:eastAsia="en-GB"/>
              </w:rPr>
              <w:t>3</w:t>
            </w:r>
          </w:p>
        </w:tc>
        <w:tc>
          <w:tcPr>
            <w:tcW w:w="647" w:type="pct"/>
          </w:tcPr>
          <w:p w14:paraId="577C46DB" w14:textId="77777777" w:rsidR="009A255B" w:rsidRPr="002967B1" w:rsidRDefault="009A255B" w:rsidP="002967B1">
            <w:pPr>
              <w:autoSpaceDE w:val="0"/>
              <w:autoSpaceDN w:val="0"/>
              <w:adjustRightInd w:val="0"/>
              <w:jc w:val="right"/>
              <w:rPr>
                <w:rFonts w:cs="Arial"/>
                <w:sz w:val="18"/>
                <w:szCs w:val="18"/>
                <w:lang w:eastAsia="en-GB"/>
              </w:rPr>
            </w:pPr>
            <w:r w:rsidRPr="002967B1">
              <w:rPr>
                <w:rFonts w:cs="Arial"/>
                <w:sz w:val="18"/>
                <w:szCs w:val="18"/>
                <w:lang w:eastAsia="en-GB"/>
              </w:rPr>
              <w:t>2</w:t>
            </w:r>
            <w:r w:rsidR="00AA5945">
              <w:rPr>
                <w:rFonts w:cs="Arial"/>
                <w:sz w:val="18"/>
                <w:szCs w:val="18"/>
                <w:lang w:eastAsia="en-GB"/>
              </w:rPr>
              <w:t>02</w:t>
            </w:r>
            <w:r w:rsidR="003F10B3">
              <w:rPr>
                <w:rFonts w:cs="Arial"/>
                <w:sz w:val="18"/>
                <w:szCs w:val="18"/>
                <w:lang w:eastAsia="en-GB"/>
              </w:rPr>
              <w:t>2</w:t>
            </w:r>
          </w:p>
        </w:tc>
      </w:tr>
      <w:tr w:rsidR="009A255B" w:rsidRPr="0076489C" w14:paraId="71E072B1" w14:textId="77777777" w:rsidTr="00690B73">
        <w:trPr>
          <w:trHeight w:val="269"/>
        </w:trPr>
        <w:tc>
          <w:tcPr>
            <w:tcW w:w="3614" w:type="pct"/>
            <w:vAlign w:val="bottom"/>
          </w:tcPr>
          <w:p w14:paraId="6D16C70F" w14:textId="77777777" w:rsidR="009A255B" w:rsidRPr="005B1496" w:rsidRDefault="009A255B" w:rsidP="009A255B">
            <w:pPr>
              <w:spacing w:after="0"/>
              <w:rPr>
                <w:rFonts w:ascii="Arial" w:hAnsi="Arial" w:cs="Arial"/>
                <w:sz w:val="18"/>
                <w:szCs w:val="18"/>
              </w:rPr>
            </w:pPr>
          </w:p>
        </w:tc>
        <w:tc>
          <w:tcPr>
            <w:tcW w:w="739" w:type="pct"/>
          </w:tcPr>
          <w:p w14:paraId="1DDF82A3" w14:textId="77777777" w:rsidR="009A255B" w:rsidRPr="0076489C" w:rsidRDefault="009A255B" w:rsidP="009A255B">
            <w:pPr>
              <w:spacing w:after="0"/>
              <w:jc w:val="right"/>
              <w:rPr>
                <w:rFonts w:ascii="Arial" w:hAnsi="Arial" w:cs="Arial"/>
                <w:b/>
                <w:sz w:val="18"/>
                <w:szCs w:val="18"/>
              </w:rPr>
            </w:pPr>
            <w:r w:rsidRPr="0076489C">
              <w:rPr>
                <w:rFonts w:ascii="Arial" w:hAnsi="Arial" w:cs="Arial"/>
                <w:b/>
                <w:sz w:val="18"/>
                <w:szCs w:val="18"/>
              </w:rPr>
              <w:t>£</w:t>
            </w:r>
          </w:p>
        </w:tc>
        <w:tc>
          <w:tcPr>
            <w:tcW w:w="647" w:type="pct"/>
          </w:tcPr>
          <w:p w14:paraId="22A3682E" w14:textId="77777777" w:rsidR="009A255B" w:rsidRPr="0076489C" w:rsidRDefault="009A255B" w:rsidP="009A255B">
            <w:pPr>
              <w:spacing w:after="0"/>
              <w:jc w:val="right"/>
              <w:rPr>
                <w:rFonts w:ascii="Arial" w:hAnsi="Arial" w:cs="Arial"/>
                <w:b/>
                <w:sz w:val="18"/>
                <w:szCs w:val="18"/>
              </w:rPr>
            </w:pPr>
            <w:r w:rsidRPr="0076489C">
              <w:rPr>
                <w:rFonts w:ascii="Arial" w:hAnsi="Arial" w:cs="Arial"/>
                <w:b/>
                <w:sz w:val="18"/>
                <w:szCs w:val="18"/>
              </w:rPr>
              <w:t>£</w:t>
            </w:r>
          </w:p>
        </w:tc>
      </w:tr>
      <w:tr w:rsidR="003F10B3" w:rsidRPr="0076489C" w14:paraId="50AC5BEB" w14:textId="77777777" w:rsidTr="00690B73">
        <w:trPr>
          <w:trHeight w:val="295"/>
        </w:trPr>
        <w:tc>
          <w:tcPr>
            <w:tcW w:w="3614" w:type="pct"/>
            <w:vAlign w:val="center"/>
          </w:tcPr>
          <w:p w14:paraId="4A9CE32A" w14:textId="77777777" w:rsidR="003F10B3" w:rsidRPr="002967B1" w:rsidRDefault="003F10B3" w:rsidP="003F10B3">
            <w:pPr>
              <w:autoSpaceDE w:val="0"/>
              <w:autoSpaceDN w:val="0"/>
              <w:adjustRightInd w:val="0"/>
              <w:rPr>
                <w:rFonts w:cs="Arial"/>
                <w:b/>
                <w:sz w:val="18"/>
                <w:szCs w:val="18"/>
                <w:lang w:eastAsia="en-GB"/>
              </w:rPr>
            </w:pPr>
            <w:r w:rsidRPr="002967B1">
              <w:rPr>
                <w:rFonts w:cs="Arial"/>
                <w:b/>
                <w:sz w:val="18"/>
                <w:szCs w:val="18"/>
                <w:lang w:eastAsia="en-GB"/>
              </w:rPr>
              <w:t xml:space="preserve">Loss for the period attributable to equity holders of the Company </w:t>
            </w:r>
          </w:p>
        </w:tc>
        <w:tc>
          <w:tcPr>
            <w:tcW w:w="739" w:type="pct"/>
            <w:vAlign w:val="center"/>
          </w:tcPr>
          <w:p w14:paraId="7FC3ADA0" w14:textId="742ECDD1" w:rsidR="003F10B3" w:rsidRPr="002967B1" w:rsidRDefault="004856E9" w:rsidP="003F10B3">
            <w:pPr>
              <w:autoSpaceDE w:val="0"/>
              <w:autoSpaceDN w:val="0"/>
              <w:adjustRightInd w:val="0"/>
              <w:jc w:val="right"/>
              <w:rPr>
                <w:rFonts w:cs="Arial"/>
                <w:sz w:val="18"/>
                <w:szCs w:val="18"/>
                <w:lang w:eastAsia="en-GB"/>
              </w:rPr>
            </w:pPr>
            <w:r>
              <w:rPr>
                <w:rFonts w:cs="Arial"/>
                <w:sz w:val="18"/>
                <w:szCs w:val="18"/>
                <w:lang w:eastAsia="en-GB"/>
              </w:rPr>
              <w:t>(</w:t>
            </w:r>
            <w:r w:rsidR="00EF0AF1">
              <w:rPr>
                <w:rFonts w:cs="Arial"/>
                <w:sz w:val="18"/>
                <w:szCs w:val="18"/>
                <w:lang w:eastAsia="en-GB"/>
              </w:rPr>
              <w:t>159,478</w:t>
            </w:r>
            <w:r>
              <w:rPr>
                <w:rFonts w:cs="Arial"/>
                <w:sz w:val="18"/>
                <w:szCs w:val="18"/>
                <w:lang w:eastAsia="en-GB"/>
              </w:rPr>
              <w:t>)</w:t>
            </w:r>
          </w:p>
        </w:tc>
        <w:tc>
          <w:tcPr>
            <w:tcW w:w="647" w:type="pct"/>
            <w:vAlign w:val="center"/>
          </w:tcPr>
          <w:p w14:paraId="10E8DE7F" w14:textId="77777777" w:rsidR="003F10B3" w:rsidRPr="002967B1" w:rsidRDefault="003F10B3" w:rsidP="003F10B3">
            <w:pPr>
              <w:autoSpaceDE w:val="0"/>
              <w:autoSpaceDN w:val="0"/>
              <w:adjustRightInd w:val="0"/>
              <w:jc w:val="right"/>
              <w:rPr>
                <w:rFonts w:cs="Arial"/>
                <w:sz w:val="18"/>
                <w:szCs w:val="18"/>
                <w:lang w:eastAsia="en-GB"/>
              </w:rPr>
            </w:pPr>
            <w:r w:rsidRPr="002967B1">
              <w:rPr>
                <w:rFonts w:cs="Arial"/>
                <w:sz w:val="18"/>
                <w:szCs w:val="18"/>
                <w:lang w:eastAsia="en-GB"/>
              </w:rPr>
              <w:t>(</w:t>
            </w:r>
            <w:r>
              <w:rPr>
                <w:rFonts w:cs="Arial"/>
                <w:sz w:val="18"/>
                <w:szCs w:val="18"/>
                <w:lang w:eastAsia="en-GB"/>
              </w:rPr>
              <w:t>172,760</w:t>
            </w:r>
            <w:r w:rsidRPr="002967B1">
              <w:rPr>
                <w:rFonts w:cs="Arial"/>
                <w:sz w:val="18"/>
                <w:szCs w:val="18"/>
                <w:lang w:eastAsia="en-GB"/>
              </w:rPr>
              <w:t>)</w:t>
            </w:r>
          </w:p>
        </w:tc>
      </w:tr>
      <w:tr w:rsidR="003F10B3" w:rsidRPr="0076489C" w14:paraId="1AB91AB4" w14:textId="77777777" w:rsidTr="00690B73">
        <w:trPr>
          <w:trHeight w:val="295"/>
        </w:trPr>
        <w:tc>
          <w:tcPr>
            <w:tcW w:w="3614" w:type="pct"/>
            <w:vAlign w:val="center"/>
          </w:tcPr>
          <w:p w14:paraId="7F4F1F88" w14:textId="77777777" w:rsidR="003F10B3" w:rsidRPr="002967B1" w:rsidRDefault="003F10B3" w:rsidP="003F10B3">
            <w:pPr>
              <w:autoSpaceDE w:val="0"/>
              <w:autoSpaceDN w:val="0"/>
              <w:adjustRightInd w:val="0"/>
              <w:rPr>
                <w:rFonts w:cs="Arial"/>
                <w:b/>
                <w:sz w:val="18"/>
                <w:szCs w:val="18"/>
                <w:lang w:eastAsia="en-GB"/>
              </w:rPr>
            </w:pPr>
            <w:r w:rsidRPr="002967B1">
              <w:rPr>
                <w:rFonts w:cs="Arial"/>
                <w:b/>
                <w:sz w:val="18"/>
                <w:szCs w:val="18"/>
                <w:lang w:eastAsia="en-GB"/>
              </w:rPr>
              <w:t>Weighted average number of ordinary shares</w:t>
            </w:r>
            <w:r>
              <w:rPr>
                <w:rFonts w:cs="Arial"/>
                <w:b/>
                <w:sz w:val="18"/>
                <w:szCs w:val="18"/>
                <w:lang w:eastAsia="en-GB"/>
              </w:rPr>
              <w:t xml:space="preserve"> (number of shares)</w:t>
            </w:r>
          </w:p>
        </w:tc>
        <w:tc>
          <w:tcPr>
            <w:tcW w:w="739" w:type="pct"/>
            <w:tcBorders>
              <w:bottom w:val="single" w:sz="4" w:space="0" w:color="auto"/>
            </w:tcBorders>
            <w:vAlign w:val="center"/>
          </w:tcPr>
          <w:p w14:paraId="1979AA75" w14:textId="77777777" w:rsidR="003F10B3" w:rsidRPr="002967B1" w:rsidRDefault="004856E9" w:rsidP="003F10B3">
            <w:pPr>
              <w:autoSpaceDE w:val="0"/>
              <w:autoSpaceDN w:val="0"/>
              <w:adjustRightInd w:val="0"/>
              <w:spacing w:before="0" w:after="0"/>
              <w:jc w:val="right"/>
              <w:rPr>
                <w:rFonts w:cs="Arial"/>
                <w:sz w:val="18"/>
                <w:szCs w:val="18"/>
                <w:lang w:eastAsia="en-GB"/>
              </w:rPr>
            </w:pPr>
            <w:r>
              <w:rPr>
                <w:rFonts w:cs="Arial"/>
                <w:sz w:val="18"/>
                <w:szCs w:val="18"/>
                <w:lang w:eastAsia="en-GB"/>
              </w:rPr>
              <w:t>32,049,999</w:t>
            </w:r>
          </w:p>
        </w:tc>
        <w:tc>
          <w:tcPr>
            <w:tcW w:w="647" w:type="pct"/>
            <w:tcBorders>
              <w:bottom w:val="single" w:sz="4" w:space="0" w:color="auto"/>
            </w:tcBorders>
            <w:vAlign w:val="center"/>
          </w:tcPr>
          <w:p w14:paraId="6B8CFC54" w14:textId="77777777" w:rsidR="003F10B3" w:rsidRPr="002967B1" w:rsidRDefault="003F10B3" w:rsidP="003F10B3">
            <w:pPr>
              <w:autoSpaceDE w:val="0"/>
              <w:autoSpaceDN w:val="0"/>
              <w:adjustRightInd w:val="0"/>
              <w:jc w:val="right"/>
              <w:rPr>
                <w:rFonts w:cs="Arial"/>
                <w:sz w:val="18"/>
                <w:szCs w:val="18"/>
                <w:lang w:eastAsia="en-GB"/>
              </w:rPr>
            </w:pPr>
            <w:r>
              <w:rPr>
                <w:rFonts w:cs="Arial"/>
                <w:sz w:val="18"/>
                <w:szCs w:val="18"/>
                <w:lang w:eastAsia="en-GB"/>
              </w:rPr>
              <w:t xml:space="preserve">    32,049,999</w:t>
            </w:r>
          </w:p>
        </w:tc>
      </w:tr>
      <w:tr w:rsidR="003F10B3" w:rsidRPr="0076489C" w14:paraId="1C37AA70" w14:textId="77777777" w:rsidTr="00690B73">
        <w:trPr>
          <w:trHeight w:val="295"/>
        </w:trPr>
        <w:tc>
          <w:tcPr>
            <w:tcW w:w="3614" w:type="pct"/>
            <w:vAlign w:val="center"/>
          </w:tcPr>
          <w:p w14:paraId="4A422C5A" w14:textId="77777777" w:rsidR="003F10B3" w:rsidRPr="002967B1" w:rsidRDefault="003F10B3" w:rsidP="003F10B3">
            <w:pPr>
              <w:autoSpaceDE w:val="0"/>
              <w:autoSpaceDN w:val="0"/>
              <w:adjustRightInd w:val="0"/>
              <w:rPr>
                <w:rFonts w:cs="Arial"/>
                <w:b/>
                <w:sz w:val="18"/>
                <w:szCs w:val="18"/>
                <w:lang w:eastAsia="en-GB"/>
              </w:rPr>
            </w:pPr>
            <w:r w:rsidRPr="002967B1">
              <w:rPr>
                <w:rFonts w:cs="Arial"/>
                <w:b/>
                <w:sz w:val="18"/>
                <w:szCs w:val="18"/>
                <w:lang w:eastAsia="en-GB"/>
              </w:rPr>
              <w:t>Loss per share</w:t>
            </w:r>
            <w:r>
              <w:rPr>
                <w:rFonts w:cs="Arial"/>
                <w:b/>
                <w:sz w:val="18"/>
                <w:szCs w:val="18"/>
                <w:lang w:eastAsia="en-GB"/>
              </w:rPr>
              <w:t xml:space="preserve"> (pence per share)</w:t>
            </w:r>
          </w:p>
        </w:tc>
        <w:tc>
          <w:tcPr>
            <w:tcW w:w="739" w:type="pct"/>
            <w:tcBorders>
              <w:top w:val="single" w:sz="4" w:space="0" w:color="auto"/>
              <w:bottom w:val="single" w:sz="4" w:space="0" w:color="auto"/>
            </w:tcBorders>
            <w:vAlign w:val="center"/>
          </w:tcPr>
          <w:p w14:paraId="67AC650A" w14:textId="429AC2A9" w:rsidR="003F10B3" w:rsidRPr="002967B1" w:rsidRDefault="004856E9" w:rsidP="003F10B3">
            <w:pPr>
              <w:autoSpaceDE w:val="0"/>
              <w:autoSpaceDN w:val="0"/>
              <w:adjustRightInd w:val="0"/>
              <w:jc w:val="right"/>
              <w:rPr>
                <w:rFonts w:cs="Arial"/>
                <w:sz w:val="18"/>
                <w:szCs w:val="18"/>
                <w:lang w:eastAsia="en-GB"/>
              </w:rPr>
            </w:pPr>
            <w:r>
              <w:rPr>
                <w:rFonts w:cs="Arial"/>
                <w:sz w:val="18"/>
                <w:szCs w:val="18"/>
                <w:lang w:eastAsia="en-GB"/>
              </w:rPr>
              <w:t>(0.</w:t>
            </w:r>
            <w:r w:rsidR="00E3420F">
              <w:rPr>
                <w:rFonts w:cs="Arial"/>
                <w:sz w:val="18"/>
                <w:szCs w:val="18"/>
                <w:lang w:eastAsia="en-GB"/>
              </w:rPr>
              <w:t>5</w:t>
            </w:r>
            <w:r w:rsidR="00EF0AF1">
              <w:rPr>
                <w:rFonts w:cs="Arial"/>
                <w:sz w:val="18"/>
                <w:szCs w:val="18"/>
                <w:lang w:eastAsia="en-GB"/>
              </w:rPr>
              <w:t>0</w:t>
            </w:r>
            <w:r>
              <w:rPr>
                <w:rFonts w:cs="Arial"/>
                <w:sz w:val="18"/>
                <w:szCs w:val="18"/>
                <w:lang w:eastAsia="en-GB"/>
              </w:rPr>
              <w:t>)</w:t>
            </w:r>
          </w:p>
        </w:tc>
        <w:tc>
          <w:tcPr>
            <w:tcW w:w="647" w:type="pct"/>
            <w:tcBorders>
              <w:top w:val="single" w:sz="4" w:space="0" w:color="auto"/>
              <w:bottom w:val="single" w:sz="4" w:space="0" w:color="auto"/>
            </w:tcBorders>
            <w:vAlign w:val="center"/>
          </w:tcPr>
          <w:p w14:paraId="5BAD237F" w14:textId="77777777" w:rsidR="003F10B3" w:rsidRPr="002967B1" w:rsidRDefault="003F10B3" w:rsidP="003F10B3">
            <w:pPr>
              <w:autoSpaceDE w:val="0"/>
              <w:autoSpaceDN w:val="0"/>
              <w:adjustRightInd w:val="0"/>
              <w:jc w:val="right"/>
              <w:rPr>
                <w:rFonts w:cs="Arial"/>
                <w:sz w:val="18"/>
                <w:szCs w:val="18"/>
                <w:lang w:eastAsia="en-GB"/>
              </w:rPr>
            </w:pPr>
            <w:r>
              <w:rPr>
                <w:rFonts w:cs="Arial"/>
                <w:sz w:val="18"/>
                <w:szCs w:val="18"/>
                <w:lang w:eastAsia="en-GB"/>
              </w:rPr>
              <w:t>(0.54</w:t>
            </w:r>
            <w:r w:rsidRPr="002967B1">
              <w:rPr>
                <w:rFonts w:cs="Arial"/>
                <w:sz w:val="18"/>
                <w:szCs w:val="18"/>
                <w:lang w:eastAsia="en-GB"/>
              </w:rPr>
              <w:t>)</w:t>
            </w:r>
          </w:p>
        </w:tc>
      </w:tr>
    </w:tbl>
    <w:p w14:paraId="1E92425D" w14:textId="77777777" w:rsidR="009A255B" w:rsidRDefault="009A255B" w:rsidP="002967B1">
      <w:pPr>
        <w:tabs>
          <w:tab w:val="left" w:pos="6521"/>
        </w:tabs>
        <w:spacing w:after="0"/>
        <w:rPr>
          <w:rFonts w:ascii="Times New Roman" w:hAnsi="Times New Roman"/>
        </w:rPr>
      </w:pPr>
    </w:p>
    <w:p w14:paraId="6C089BAF" w14:textId="77777777" w:rsidR="00744BE1" w:rsidRPr="00E32AB8"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E32AB8">
        <w:rPr>
          <w:rFonts w:cs="Arial"/>
          <w:b/>
          <w:color w:val="000000"/>
          <w:sz w:val="18"/>
          <w:szCs w:val="18"/>
        </w:rPr>
        <w:t>RELATED PARTY TRANSACTIONS</w:t>
      </w:r>
      <w:bookmarkStart w:id="2" w:name="DBG972"/>
      <w:bookmarkEnd w:id="2"/>
    </w:p>
    <w:p w14:paraId="214987BB" w14:textId="77777777" w:rsidR="00744BE1" w:rsidRDefault="009A255B" w:rsidP="002967B1">
      <w:pPr>
        <w:pStyle w:val="ListParagraph"/>
        <w:tabs>
          <w:tab w:val="left" w:pos="2640"/>
        </w:tabs>
        <w:spacing w:after="0" w:line="240" w:lineRule="auto"/>
        <w:ind w:left="426"/>
        <w:rPr>
          <w:rFonts w:ascii="Times New Roman" w:hAnsi="Times New Roman" w:cs="Times New Roman"/>
          <w:b/>
          <w:bCs/>
        </w:rPr>
      </w:pPr>
      <w:r>
        <w:rPr>
          <w:rFonts w:ascii="Times New Roman" w:hAnsi="Times New Roman" w:cs="Times New Roman"/>
          <w:b/>
          <w:bCs/>
        </w:rPr>
        <w:tab/>
      </w:r>
    </w:p>
    <w:p w14:paraId="1CE8CDDA" w14:textId="77777777" w:rsidR="00744BE1" w:rsidRDefault="00744BE1" w:rsidP="00744BE1">
      <w:pPr>
        <w:pStyle w:val="ListParagraph"/>
        <w:spacing w:after="0" w:line="240" w:lineRule="auto"/>
        <w:ind w:left="426"/>
        <w:jc w:val="both"/>
        <w:rPr>
          <w:rFonts w:eastAsia="SimSun" w:cs="Arial"/>
          <w:kern w:val="2"/>
          <w:sz w:val="18"/>
          <w:szCs w:val="18"/>
          <w:lang w:val="en-GB" w:eastAsia="en-GB"/>
        </w:rPr>
      </w:pPr>
      <w:r w:rsidRPr="00AC052C">
        <w:rPr>
          <w:rFonts w:eastAsia="SimSun" w:cs="Arial"/>
          <w:kern w:val="2"/>
          <w:sz w:val="18"/>
          <w:szCs w:val="18"/>
          <w:lang w:val="en-GB" w:eastAsia="en-GB"/>
        </w:rPr>
        <w:t xml:space="preserve">Key management </w:t>
      </w:r>
      <w:proofErr w:type="gramStart"/>
      <w:r w:rsidRPr="00AC052C">
        <w:rPr>
          <w:rFonts w:eastAsia="SimSun" w:cs="Arial"/>
          <w:kern w:val="2"/>
          <w:sz w:val="18"/>
          <w:szCs w:val="18"/>
          <w:lang w:val="en-GB" w:eastAsia="en-GB"/>
        </w:rPr>
        <w:t>are considered to be</w:t>
      </w:r>
      <w:proofErr w:type="gramEnd"/>
      <w:r w:rsidRPr="00AC052C">
        <w:rPr>
          <w:rFonts w:eastAsia="SimSun" w:cs="Arial"/>
          <w:kern w:val="2"/>
          <w:sz w:val="18"/>
          <w:szCs w:val="18"/>
          <w:lang w:val="en-GB" w:eastAsia="en-GB"/>
        </w:rPr>
        <w:t xml:space="preserve"> the directors and the key management personnel compensation has been disclosed in </w:t>
      </w:r>
      <w:r w:rsidR="00F759D1" w:rsidRPr="00F759D1">
        <w:rPr>
          <w:rFonts w:eastAsia="SimSun" w:cs="Arial"/>
          <w:kern w:val="2"/>
          <w:sz w:val="18"/>
          <w:szCs w:val="18"/>
          <w:lang w:val="en-GB" w:eastAsia="en-GB"/>
        </w:rPr>
        <w:t xml:space="preserve">note </w:t>
      </w:r>
      <w:r w:rsidR="00483F22">
        <w:rPr>
          <w:rFonts w:eastAsia="SimSun" w:cs="Arial"/>
          <w:kern w:val="2"/>
          <w:sz w:val="18"/>
          <w:szCs w:val="18"/>
          <w:lang w:val="en-GB" w:eastAsia="en-GB"/>
        </w:rPr>
        <w:t>9</w:t>
      </w:r>
      <w:r w:rsidRPr="00F759D1">
        <w:rPr>
          <w:rFonts w:eastAsia="SimSun" w:cs="Arial"/>
          <w:kern w:val="2"/>
          <w:sz w:val="18"/>
          <w:szCs w:val="18"/>
          <w:lang w:val="en-GB" w:eastAsia="en-GB"/>
        </w:rPr>
        <w:t>.</w:t>
      </w:r>
      <w:r w:rsidR="0060062E">
        <w:rPr>
          <w:rFonts w:eastAsia="SimSun" w:cs="Arial"/>
          <w:kern w:val="2"/>
          <w:sz w:val="18"/>
          <w:szCs w:val="18"/>
          <w:lang w:val="en-GB" w:eastAsia="en-GB"/>
        </w:rPr>
        <w:t xml:space="preserve">  The Board does not consider there to be any related parties to the Company other than Key Management Personnel.</w:t>
      </w:r>
    </w:p>
    <w:p w14:paraId="2A2DF186" w14:textId="77777777" w:rsidR="009A255B" w:rsidRPr="007D673F" w:rsidRDefault="009A255B" w:rsidP="00AD0F86">
      <w:pPr>
        <w:contextualSpacing/>
        <w:rPr>
          <w:rFonts w:cs="Arial"/>
          <w:sz w:val="18"/>
          <w:szCs w:val="18"/>
          <w:lang w:eastAsia="en-GB"/>
        </w:rPr>
      </w:pPr>
    </w:p>
    <w:p w14:paraId="3F97668A" w14:textId="77777777" w:rsidR="0041430E" w:rsidRDefault="00E922D3" w:rsidP="00D63E44">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EVENTS SUBSEQUENT TO YEAR END</w:t>
      </w:r>
    </w:p>
    <w:p w14:paraId="2E459333" w14:textId="77777777" w:rsidR="0041430E" w:rsidRDefault="0041430E" w:rsidP="0041430E">
      <w:pPr>
        <w:widowControl/>
        <w:spacing w:before="0" w:after="0"/>
        <w:ind w:left="426"/>
        <w:contextualSpacing/>
        <w:jc w:val="left"/>
        <w:rPr>
          <w:rFonts w:cs="Arial"/>
          <w:b/>
          <w:sz w:val="18"/>
          <w:szCs w:val="18"/>
          <w:lang w:eastAsia="en-GB"/>
        </w:rPr>
      </w:pPr>
    </w:p>
    <w:p w14:paraId="3E2CE7EA" w14:textId="77777777" w:rsidR="00E14B1B" w:rsidRPr="0060384F" w:rsidRDefault="009106B7" w:rsidP="00962E4E">
      <w:pPr>
        <w:widowControl/>
        <w:spacing w:before="0" w:after="0"/>
        <w:ind w:left="426"/>
        <w:contextualSpacing/>
        <w:jc w:val="left"/>
        <w:rPr>
          <w:rFonts w:cs="Arial"/>
          <w:bCs/>
          <w:sz w:val="18"/>
          <w:szCs w:val="18"/>
          <w:lang w:eastAsia="en-GB"/>
        </w:rPr>
      </w:pPr>
      <w:r w:rsidRPr="00332D3B">
        <w:rPr>
          <w:rFonts w:cs="Arial"/>
          <w:bCs/>
          <w:sz w:val="18"/>
          <w:szCs w:val="18"/>
          <w:lang w:eastAsia="en-GB"/>
        </w:rPr>
        <w:t xml:space="preserve">There have been no material events subsequent to the year </w:t>
      </w:r>
      <w:r w:rsidR="00CB7800" w:rsidRPr="00332D3B">
        <w:rPr>
          <w:rFonts w:cs="Arial"/>
          <w:bCs/>
          <w:sz w:val="18"/>
          <w:szCs w:val="18"/>
          <w:lang w:eastAsia="en-GB"/>
        </w:rPr>
        <w:t>end.</w:t>
      </w:r>
      <w:r w:rsidR="00CB7800" w:rsidRPr="00EE785D">
        <w:rPr>
          <w:rFonts w:cs="Arial"/>
          <w:bCs/>
          <w:sz w:val="18"/>
          <w:szCs w:val="18"/>
          <w:lang w:eastAsia="en-GB"/>
        </w:rPr>
        <w:t xml:space="preserve"> </w:t>
      </w:r>
    </w:p>
    <w:p w14:paraId="5BC9D46C" w14:textId="77777777" w:rsidR="00CC7233" w:rsidRDefault="00CC7233">
      <w:pPr>
        <w:widowControl/>
        <w:spacing w:before="0" w:after="0"/>
        <w:jc w:val="left"/>
        <w:rPr>
          <w:rFonts w:cs="Arial"/>
          <w:b/>
          <w:sz w:val="18"/>
          <w:szCs w:val="18"/>
          <w:lang w:eastAsia="en-GB"/>
        </w:rPr>
      </w:pPr>
    </w:p>
    <w:p w14:paraId="68E719F5" w14:textId="77777777" w:rsidR="0041430E" w:rsidRDefault="0041430E" w:rsidP="0041430E">
      <w:pPr>
        <w:widowControl/>
        <w:spacing w:before="0" w:after="0"/>
        <w:ind w:left="426"/>
        <w:contextualSpacing/>
        <w:jc w:val="left"/>
        <w:rPr>
          <w:rFonts w:cs="Arial"/>
          <w:b/>
          <w:sz w:val="18"/>
          <w:szCs w:val="18"/>
          <w:lang w:eastAsia="en-GB"/>
        </w:rPr>
      </w:pPr>
    </w:p>
    <w:p w14:paraId="04DBCD56" w14:textId="77777777" w:rsidR="00230970" w:rsidRDefault="00097E76" w:rsidP="00D63E44">
      <w:pPr>
        <w:widowControl/>
        <w:numPr>
          <w:ilvl w:val="0"/>
          <w:numId w:val="20"/>
        </w:numPr>
        <w:spacing w:before="0" w:after="0"/>
        <w:ind w:left="426"/>
        <w:contextualSpacing/>
        <w:jc w:val="left"/>
        <w:rPr>
          <w:rFonts w:cs="Arial"/>
          <w:b/>
          <w:sz w:val="18"/>
          <w:szCs w:val="18"/>
          <w:lang w:eastAsia="en-GB"/>
        </w:rPr>
      </w:pPr>
      <w:r w:rsidRPr="00D01660">
        <w:rPr>
          <w:rFonts w:cs="Arial"/>
          <w:b/>
          <w:sz w:val="18"/>
          <w:szCs w:val="18"/>
          <w:lang w:eastAsia="en-GB"/>
        </w:rPr>
        <w:t>ULTIMATE CONTROLLING PARTY</w:t>
      </w:r>
    </w:p>
    <w:p w14:paraId="7F60FCFB" w14:textId="77777777" w:rsidR="00D01660" w:rsidRPr="00D01660" w:rsidRDefault="00D01660" w:rsidP="00D01660">
      <w:pPr>
        <w:widowControl/>
        <w:spacing w:before="0" w:after="0"/>
        <w:ind w:left="66"/>
        <w:contextualSpacing/>
        <w:jc w:val="left"/>
        <w:rPr>
          <w:rFonts w:cs="Arial"/>
          <w:b/>
          <w:sz w:val="18"/>
          <w:szCs w:val="18"/>
          <w:lang w:eastAsia="en-GB"/>
        </w:rPr>
      </w:pPr>
    </w:p>
    <w:p w14:paraId="46D637D9" w14:textId="77777777" w:rsidR="00230970" w:rsidRPr="007D673F" w:rsidRDefault="003949D4" w:rsidP="00B1090C">
      <w:pPr>
        <w:ind w:left="426"/>
        <w:contextualSpacing/>
        <w:rPr>
          <w:rFonts w:cs="Arial"/>
          <w:color w:val="000000"/>
          <w:sz w:val="18"/>
          <w:szCs w:val="18"/>
          <w:lang w:eastAsia="en-GB"/>
        </w:rPr>
      </w:pPr>
      <w:bookmarkStart w:id="3" w:name="_Hlk525302695"/>
      <w:r>
        <w:rPr>
          <w:rFonts w:cs="Arial"/>
          <w:sz w:val="18"/>
          <w:szCs w:val="18"/>
          <w:lang w:eastAsia="en-GB"/>
        </w:rPr>
        <w:t>A</w:t>
      </w:r>
      <w:r w:rsidR="009214B6">
        <w:rPr>
          <w:rFonts w:cs="Arial"/>
          <w:sz w:val="18"/>
          <w:szCs w:val="18"/>
          <w:lang w:eastAsia="en-GB"/>
        </w:rPr>
        <w:t>s a</w:t>
      </w:r>
      <w:r>
        <w:rPr>
          <w:rFonts w:cs="Arial"/>
          <w:sz w:val="18"/>
          <w:szCs w:val="18"/>
          <w:lang w:eastAsia="en-GB"/>
        </w:rPr>
        <w:t>t 31 January 20</w:t>
      </w:r>
      <w:r w:rsidR="0088313D">
        <w:rPr>
          <w:rFonts w:cs="Arial"/>
          <w:sz w:val="18"/>
          <w:szCs w:val="18"/>
          <w:lang w:eastAsia="en-GB"/>
        </w:rPr>
        <w:t>2</w:t>
      </w:r>
      <w:r w:rsidR="004856E9">
        <w:rPr>
          <w:rFonts w:cs="Arial"/>
          <w:sz w:val="18"/>
          <w:szCs w:val="18"/>
          <w:lang w:eastAsia="en-GB"/>
        </w:rPr>
        <w:t>3</w:t>
      </w:r>
      <w:r>
        <w:rPr>
          <w:rFonts w:cs="Arial"/>
          <w:sz w:val="18"/>
          <w:szCs w:val="18"/>
          <w:lang w:eastAsia="en-GB"/>
        </w:rPr>
        <w:t xml:space="preserve"> there was no ultimate controlling party.</w:t>
      </w:r>
      <w:bookmarkEnd w:id="3"/>
    </w:p>
    <w:sectPr w:rsidR="00230970" w:rsidRPr="007D673F" w:rsidSect="00AD48CF">
      <w:headerReference w:type="default" r:id="rId28"/>
      <w:headerReference w:type="first" r:id="rId29"/>
      <w:pgSz w:w="11909" w:h="16834" w:code="9"/>
      <w:pgMar w:top="1531" w:right="1304" w:bottom="1134"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3984" w14:textId="77777777" w:rsidR="00FF2549" w:rsidRDefault="00FF2549" w:rsidP="00F35B4A">
      <w:pPr>
        <w:spacing w:before="0" w:after="0"/>
      </w:pPr>
      <w:r>
        <w:separator/>
      </w:r>
    </w:p>
  </w:endnote>
  <w:endnote w:type="continuationSeparator" w:id="0">
    <w:p w14:paraId="55C00F97" w14:textId="77777777" w:rsidR="00FF2549" w:rsidRDefault="00FF2549" w:rsidP="00F35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PP-Blac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BB0" w14:textId="7CB4404D" w:rsidR="006221BD" w:rsidRDefault="006221BD">
    <w:pPr>
      <w:pStyle w:val="Footer"/>
      <w:jc w:val="center"/>
    </w:pPr>
  </w:p>
  <w:p w14:paraId="77E2F0C2" w14:textId="77777777" w:rsidR="006221BD" w:rsidRDefault="00622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790657"/>
      <w:docPartObj>
        <w:docPartGallery w:val="Page Numbers (Bottom of Page)"/>
        <w:docPartUnique/>
      </w:docPartObj>
    </w:sdtPr>
    <w:sdtEndPr>
      <w:rPr>
        <w:noProof/>
      </w:rPr>
    </w:sdtEndPr>
    <w:sdtContent>
      <w:p w14:paraId="68048243" w14:textId="77777777" w:rsidR="006221BD" w:rsidRDefault="006221B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0063E2D" w14:textId="77777777" w:rsidR="006221BD" w:rsidRDefault="00622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09664"/>
      <w:docPartObj>
        <w:docPartGallery w:val="Page Numbers (Bottom of Page)"/>
        <w:docPartUnique/>
      </w:docPartObj>
    </w:sdtPr>
    <w:sdtEndPr>
      <w:rPr>
        <w:noProof/>
      </w:rPr>
    </w:sdtEndPr>
    <w:sdtContent>
      <w:p w14:paraId="7E8D5123" w14:textId="255083E5" w:rsidR="006221BD" w:rsidRDefault="00000000">
        <w:pPr>
          <w:pStyle w:val="Footer"/>
          <w:jc w:val="center"/>
        </w:pPr>
      </w:p>
    </w:sdtContent>
  </w:sdt>
  <w:p w14:paraId="0E6E9CC9" w14:textId="77777777" w:rsidR="006221BD" w:rsidRDefault="006221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5D3C" w14:textId="21C8D90D" w:rsidR="008354DF" w:rsidRDefault="008354DF">
    <w:pPr>
      <w:pStyle w:val="Footer"/>
      <w:jc w:val="center"/>
    </w:pPr>
  </w:p>
  <w:p w14:paraId="6AE08942" w14:textId="77777777" w:rsidR="008354DF" w:rsidRDefault="0083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C31B" w14:textId="77777777" w:rsidR="00FF2549" w:rsidRDefault="00FF2549" w:rsidP="00F35B4A">
      <w:pPr>
        <w:spacing w:before="0" w:after="0"/>
      </w:pPr>
      <w:r>
        <w:separator/>
      </w:r>
    </w:p>
  </w:footnote>
  <w:footnote w:type="continuationSeparator" w:id="0">
    <w:p w14:paraId="48F33C0D" w14:textId="77777777" w:rsidR="00FF2549" w:rsidRDefault="00FF2549" w:rsidP="00F35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E9A8" w14:textId="2FE15FC2" w:rsidR="006221BD" w:rsidRPr="00EE24A0" w:rsidRDefault="006221BD" w:rsidP="00EE24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523E" w14:textId="77777777" w:rsidR="006221BD" w:rsidRPr="00EE24A0" w:rsidRDefault="006221BD" w:rsidP="00EE24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BE4D" w14:textId="77777777" w:rsidR="006221BD" w:rsidRPr="00EE24A0" w:rsidRDefault="006221BD" w:rsidP="00EE24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DACA" w14:textId="77777777" w:rsidR="006221BD" w:rsidRDefault="006221BD" w:rsidP="00F24BF9">
    <w:pPr>
      <w:spacing w:after="0"/>
      <w:rPr>
        <w:rFonts w:ascii="Times New Roman" w:hAnsi="Times New Roman"/>
        <w:b/>
        <w:bCs/>
      </w:rPr>
    </w:pPr>
    <w:r>
      <w:rPr>
        <w:rFonts w:ascii="Times New Roman" w:hAnsi="Times New Roman"/>
        <w:b/>
        <w:bCs/>
      </w:rPr>
      <w:t>MINING, MINERALS &amp; METALS PLC</w:t>
    </w:r>
  </w:p>
  <w:p w14:paraId="5B6C59D6" w14:textId="77777777" w:rsidR="006221BD" w:rsidRPr="000E29ED" w:rsidRDefault="006221BD" w:rsidP="00F24BF9">
    <w:pPr>
      <w:spacing w:after="0"/>
      <w:rPr>
        <w:rFonts w:ascii="Times New Roman" w:hAnsi="Times New Roman"/>
        <w:b/>
      </w:rPr>
    </w:pPr>
    <w:r>
      <w:rPr>
        <w:rFonts w:ascii="Times New Roman" w:hAnsi="Times New Roman"/>
        <w:b/>
      </w:rPr>
      <w:t>NOTES TO THE FINANCIAL STATEMENTS</w:t>
    </w:r>
  </w:p>
  <w:p w14:paraId="66BF5A81" w14:textId="77777777" w:rsidR="006221BD" w:rsidRPr="000E29ED" w:rsidRDefault="006221BD" w:rsidP="00F24BF9">
    <w:pPr>
      <w:rPr>
        <w:rFonts w:ascii="Times New Roman" w:hAnsi="Times New Roman"/>
        <w:b/>
      </w:rPr>
    </w:pPr>
    <w:r>
      <w:rPr>
        <w:rFonts w:ascii="Times New Roman" w:hAnsi="Times New Roman"/>
        <w:b/>
      </w:rPr>
      <w:t>FOR THE YEAR ENDED 31 JANUARY 2019</w:t>
    </w:r>
  </w:p>
  <w:p w14:paraId="55FFF90E" w14:textId="77777777" w:rsidR="006221BD" w:rsidRDefault="006221BD" w:rsidP="00AF584C">
    <w:pPr>
      <w:spacing w:after="0"/>
      <w:rPr>
        <w:rFonts w:ascii="Times New Roman" w:hAnsi="Times New Roman"/>
      </w:rPr>
    </w:pPr>
  </w:p>
  <w:p w14:paraId="58026108" w14:textId="77777777" w:rsidR="006221BD" w:rsidRPr="004C3FDA" w:rsidRDefault="006221BD" w:rsidP="00890FE3">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AED0" w14:textId="77777777" w:rsidR="006221BD" w:rsidRPr="00EE24A0" w:rsidRDefault="006221BD" w:rsidP="00EE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B6E" w14:textId="77777777" w:rsidR="006221BD" w:rsidRPr="00BD49E4" w:rsidRDefault="006221BD">
    <w:pPr>
      <w:pStyle w:val="Header"/>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C74B" w14:textId="77777777" w:rsidR="008354DF" w:rsidRPr="00F3626E" w:rsidRDefault="008354DF" w:rsidP="0074035B">
    <w:pPr>
      <w:pStyle w:val="PlainText"/>
      <w:outlineLvl w:val="0"/>
      <w:rPr>
        <w:rFonts w:asciiTheme="minorHAnsi" w:eastAsia="SimSun" w:hAnsiTheme="minorHAnsi" w:cstheme="minorHAnsi"/>
        <w:b/>
        <w:kern w:val="2"/>
        <w:lang w:val="en-GB" w:eastAsia="zh-CN"/>
      </w:rPr>
    </w:pPr>
    <w:r>
      <w:rPr>
        <w:rFonts w:asciiTheme="minorHAnsi" w:eastAsia="SimSun" w:hAnsiTheme="minorHAnsi" w:cstheme="minorHAnsi"/>
        <w:b/>
        <w:kern w:val="2"/>
        <w:lang w:val="en-GB" w:eastAsia="zh-CN"/>
      </w:rPr>
      <w:t>MINING, MINERALS &amp; METALS</w:t>
    </w:r>
    <w:r w:rsidRPr="00F3626E">
      <w:rPr>
        <w:rFonts w:asciiTheme="minorHAnsi" w:eastAsia="SimSun" w:hAnsiTheme="minorHAnsi" w:cstheme="minorHAnsi"/>
        <w:b/>
        <w:kern w:val="2"/>
        <w:lang w:val="en-GB" w:eastAsia="zh-CN"/>
      </w:rPr>
      <w:t xml:space="preserve"> PLC</w:t>
    </w:r>
  </w:p>
  <w:p w14:paraId="42AC6F0C" w14:textId="77777777" w:rsidR="008354DF" w:rsidRPr="0074035B" w:rsidRDefault="008354DF" w:rsidP="0074035B">
    <w:pPr>
      <w:pStyle w:val="PlainText"/>
      <w:pBdr>
        <w:bottom w:val="single" w:sz="12" w:space="1" w:color="002060"/>
      </w:pBdr>
      <w:outlineLvl w:val="0"/>
      <w:rPr>
        <w:rFonts w:asciiTheme="minorHAnsi" w:eastAsia="SimSun" w:hAnsiTheme="minorHAnsi" w:cstheme="minorHAnsi"/>
        <w:b/>
        <w:kern w:val="2"/>
        <w:lang w:val="en-GB" w:eastAsia="zh-CN"/>
      </w:rPr>
    </w:pPr>
    <w:r w:rsidRPr="00F3626E">
      <w:rPr>
        <w:rFonts w:asciiTheme="minorHAnsi" w:eastAsia="SimSun" w:hAnsiTheme="minorHAnsi" w:cstheme="minorHAnsi"/>
        <w:b/>
        <w:kern w:val="2"/>
        <w:lang w:val="en-GB" w:eastAsia="zh-CN"/>
      </w:rPr>
      <w:t>20</w:t>
    </w:r>
    <w:r>
      <w:rPr>
        <w:rFonts w:asciiTheme="minorHAnsi" w:eastAsia="SimSun" w:hAnsiTheme="minorHAnsi" w:cstheme="minorHAnsi"/>
        <w:b/>
        <w:kern w:val="2"/>
        <w:lang w:val="en-GB" w:eastAsia="zh-CN"/>
      </w:rPr>
      <w:t>23</w:t>
    </w:r>
    <w:r w:rsidRPr="00F3626E">
      <w:rPr>
        <w:rFonts w:asciiTheme="minorHAnsi" w:eastAsia="SimSun" w:hAnsiTheme="minorHAnsi" w:cstheme="minorHAnsi"/>
        <w:b/>
        <w:kern w:val="2"/>
        <w:lang w:val="en-GB" w:eastAsia="zh-CN"/>
      </w:rPr>
      <w:t xml:space="preserve"> Annual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616D" w14:textId="77777777" w:rsidR="008354DF" w:rsidRPr="00EE24A0" w:rsidRDefault="008354DF" w:rsidP="00EE24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BDD4" w14:textId="77777777" w:rsidR="006221BD" w:rsidRPr="00BD4098" w:rsidRDefault="006221BD">
    <w:pPr>
      <w:pStyle w:val="Head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C2F" w14:textId="77777777" w:rsidR="006221BD" w:rsidRPr="00F4762B" w:rsidRDefault="006221BD" w:rsidP="00775320">
    <w:pPr>
      <w:pStyle w:val="Header"/>
      <w:rPr>
        <w:sz w:val="2"/>
      </w:rPr>
    </w:pPr>
  </w:p>
  <w:p w14:paraId="1B177076" w14:textId="77777777" w:rsidR="006221BD" w:rsidRPr="004C3FDA" w:rsidRDefault="006221BD" w:rsidP="00890FE3">
    <w:pPr>
      <w:pStyle w:val="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5B0" w14:textId="50FCA075" w:rsidR="006221BD" w:rsidRPr="00EE24A0" w:rsidRDefault="006221BD" w:rsidP="00EE24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B088" w14:textId="425C28E2" w:rsidR="006221BD" w:rsidRPr="00EE24A0" w:rsidRDefault="006221BD" w:rsidP="00EE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1DC4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E838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C6A6A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967EF63C"/>
    <w:lvl w:ilvl="0">
      <w:numFmt w:val="decimal"/>
      <w:lvlText w:val="*"/>
      <w:lvlJc w:val="left"/>
    </w:lvl>
  </w:abstractNum>
  <w:abstractNum w:abstractNumId="4" w15:restartNumberingAfterBreak="0">
    <w:nsid w:val="001D0C34"/>
    <w:multiLevelType w:val="multilevel"/>
    <w:tmpl w:val="9C283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037DD1"/>
    <w:multiLevelType w:val="hybridMultilevel"/>
    <w:tmpl w:val="019639EC"/>
    <w:lvl w:ilvl="0" w:tplc="44FA992E">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F3A49"/>
    <w:multiLevelType w:val="hybridMultilevel"/>
    <w:tmpl w:val="C4A8D5B4"/>
    <w:lvl w:ilvl="0" w:tplc="01EE5F48">
      <w:start w:val="1"/>
      <w:numFmt w:val="bullet"/>
      <w:pStyle w:val="CroweResumeBulletLeft2N"/>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F04D85"/>
    <w:multiLevelType w:val="hybridMultilevel"/>
    <w:tmpl w:val="769A9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C7BA3"/>
    <w:multiLevelType w:val="hybridMultilevel"/>
    <w:tmpl w:val="6254CD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2BD15DF"/>
    <w:multiLevelType w:val="hybridMultilevel"/>
    <w:tmpl w:val="78DE4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37FDA"/>
    <w:multiLevelType w:val="hybridMultilevel"/>
    <w:tmpl w:val="E79CD51C"/>
    <w:lvl w:ilvl="0" w:tplc="F3221646">
      <w:start w:val="1"/>
      <w:numFmt w:val="bullet"/>
      <w:pStyle w:val="BulletedList"/>
      <w:lvlText w:val=""/>
      <w:lvlJc w:val="left"/>
      <w:pPr>
        <w:ind w:left="360" w:hanging="360"/>
      </w:pPr>
      <w:rPr>
        <w:rFonts w:ascii="Symbol" w:hAnsi="Symbol" w:hint="default"/>
      </w:rPr>
    </w:lvl>
    <w:lvl w:ilvl="1" w:tplc="4F6087BE">
      <w:start w:val="1"/>
      <w:numFmt w:val="bullet"/>
      <w:pStyle w:val="BulletedSublis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D86D4D"/>
    <w:multiLevelType w:val="multilevel"/>
    <w:tmpl w:val="C5BEA48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1505A6"/>
    <w:multiLevelType w:val="hybridMultilevel"/>
    <w:tmpl w:val="F938A54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2C5E7D"/>
    <w:multiLevelType w:val="hybridMultilevel"/>
    <w:tmpl w:val="462C7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020D29"/>
    <w:multiLevelType w:val="hybridMultilevel"/>
    <w:tmpl w:val="3DECF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278A7"/>
    <w:multiLevelType w:val="hybridMultilevel"/>
    <w:tmpl w:val="C6B6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D4BDB"/>
    <w:multiLevelType w:val="hybridMultilevel"/>
    <w:tmpl w:val="A79CB418"/>
    <w:lvl w:ilvl="0" w:tplc="52D894D0">
      <w:start w:val="1"/>
      <w:numFmt w:val="decimal"/>
      <w:pStyle w:val="Manc2"/>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502247"/>
    <w:multiLevelType w:val="multilevel"/>
    <w:tmpl w:val="6FF0A96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sz w:val="18"/>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8B45444"/>
    <w:multiLevelType w:val="hybridMultilevel"/>
    <w:tmpl w:val="E084AEFC"/>
    <w:lvl w:ilvl="0" w:tplc="88A6F36E">
      <w:start w:val="1"/>
      <w:numFmt w:val="bullet"/>
      <w:lvlText w:val=""/>
      <w:lvlJc w:val="left"/>
      <w:pPr>
        <w:tabs>
          <w:tab w:val="num" w:pos="360"/>
        </w:tabs>
        <w:ind w:left="360" w:hanging="360"/>
      </w:pPr>
      <w:rPr>
        <w:rFonts w:ascii="Symbol" w:hAnsi="Symbol" w:hint="default"/>
      </w:rPr>
    </w:lvl>
    <w:lvl w:ilvl="1" w:tplc="67A81FEC" w:tentative="1">
      <w:start w:val="1"/>
      <w:numFmt w:val="bullet"/>
      <w:lvlText w:val=""/>
      <w:lvlJc w:val="left"/>
      <w:pPr>
        <w:tabs>
          <w:tab w:val="num" w:pos="1080"/>
        </w:tabs>
        <w:ind w:left="1080" w:hanging="360"/>
      </w:pPr>
      <w:rPr>
        <w:rFonts w:ascii="Symbol" w:hAnsi="Symbol" w:hint="default"/>
      </w:rPr>
    </w:lvl>
    <w:lvl w:ilvl="2" w:tplc="F06AD5F2" w:tentative="1">
      <w:start w:val="1"/>
      <w:numFmt w:val="bullet"/>
      <w:lvlText w:val=""/>
      <w:lvlJc w:val="left"/>
      <w:pPr>
        <w:tabs>
          <w:tab w:val="num" w:pos="1800"/>
        </w:tabs>
        <w:ind w:left="1800" w:hanging="360"/>
      </w:pPr>
      <w:rPr>
        <w:rFonts w:ascii="Symbol" w:hAnsi="Symbol" w:hint="default"/>
      </w:rPr>
    </w:lvl>
    <w:lvl w:ilvl="3" w:tplc="4664FDBC" w:tentative="1">
      <w:start w:val="1"/>
      <w:numFmt w:val="bullet"/>
      <w:lvlText w:val=""/>
      <w:lvlJc w:val="left"/>
      <w:pPr>
        <w:tabs>
          <w:tab w:val="num" w:pos="2520"/>
        </w:tabs>
        <w:ind w:left="2520" w:hanging="360"/>
      </w:pPr>
      <w:rPr>
        <w:rFonts w:ascii="Symbol" w:hAnsi="Symbol" w:hint="default"/>
      </w:rPr>
    </w:lvl>
    <w:lvl w:ilvl="4" w:tplc="DFCC4E94" w:tentative="1">
      <w:start w:val="1"/>
      <w:numFmt w:val="bullet"/>
      <w:lvlText w:val=""/>
      <w:lvlJc w:val="left"/>
      <w:pPr>
        <w:tabs>
          <w:tab w:val="num" w:pos="3240"/>
        </w:tabs>
        <w:ind w:left="3240" w:hanging="360"/>
      </w:pPr>
      <w:rPr>
        <w:rFonts w:ascii="Symbol" w:hAnsi="Symbol" w:hint="default"/>
      </w:rPr>
    </w:lvl>
    <w:lvl w:ilvl="5" w:tplc="06C0651A" w:tentative="1">
      <w:start w:val="1"/>
      <w:numFmt w:val="bullet"/>
      <w:lvlText w:val=""/>
      <w:lvlJc w:val="left"/>
      <w:pPr>
        <w:tabs>
          <w:tab w:val="num" w:pos="3960"/>
        </w:tabs>
        <w:ind w:left="3960" w:hanging="360"/>
      </w:pPr>
      <w:rPr>
        <w:rFonts w:ascii="Symbol" w:hAnsi="Symbol" w:hint="default"/>
      </w:rPr>
    </w:lvl>
    <w:lvl w:ilvl="6" w:tplc="06DA5A4E" w:tentative="1">
      <w:start w:val="1"/>
      <w:numFmt w:val="bullet"/>
      <w:lvlText w:val=""/>
      <w:lvlJc w:val="left"/>
      <w:pPr>
        <w:tabs>
          <w:tab w:val="num" w:pos="4680"/>
        </w:tabs>
        <w:ind w:left="4680" w:hanging="360"/>
      </w:pPr>
      <w:rPr>
        <w:rFonts w:ascii="Symbol" w:hAnsi="Symbol" w:hint="default"/>
      </w:rPr>
    </w:lvl>
    <w:lvl w:ilvl="7" w:tplc="C4581DF2" w:tentative="1">
      <w:start w:val="1"/>
      <w:numFmt w:val="bullet"/>
      <w:lvlText w:val=""/>
      <w:lvlJc w:val="left"/>
      <w:pPr>
        <w:tabs>
          <w:tab w:val="num" w:pos="5400"/>
        </w:tabs>
        <w:ind w:left="5400" w:hanging="360"/>
      </w:pPr>
      <w:rPr>
        <w:rFonts w:ascii="Symbol" w:hAnsi="Symbol" w:hint="default"/>
      </w:rPr>
    </w:lvl>
    <w:lvl w:ilvl="8" w:tplc="53C2C588"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D26709B"/>
    <w:multiLevelType w:val="hybridMultilevel"/>
    <w:tmpl w:val="446A2670"/>
    <w:lvl w:ilvl="0" w:tplc="BDC24114">
      <w:start w:val="1"/>
      <w:numFmt w:val="bullet"/>
      <w:pStyle w:val="CroweResumeBulletRight2N"/>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B7F1F"/>
    <w:multiLevelType w:val="hybridMultilevel"/>
    <w:tmpl w:val="0936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976008"/>
    <w:multiLevelType w:val="hybridMultilevel"/>
    <w:tmpl w:val="CBA4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3E6E94"/>
    <w:multiLevelType w:val="hybridMultilevel"/>
    <w:tmpl w:val="113A28D0"/>
    <w:lvl w:ilvl="0" w:tplc="1138EF36">
      <w:start w:val="1"/>
      <w:numFmt w:val="bullet"/>
      <w:pStyle w:val="CroweResumeBulletLeftN"/>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70CA5"/>
    <w:multiLevelType w:val="hybridMultilevel"/>
    <w:tmpl w:val="9AE6D0C0"/>
    <w:lvl w:ilvl="0" w:tplc="0FFCA518">
      <w:start w:val="1"/>
      <w:numFmt w:val="bullet"/>
      <w:pStyle w:val="CroweResumeBulletRightN"/>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A0D1D"/>
    <w:multiLevelType w:val="hybridMultilevel"/>
    <w:tmpl w:val="688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415BC"/>
    <w:multiLevelType w:val="hybridMultilevel"/>
    <w:tmpl w:val="E15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97265"/>
    <w:multiLevelType w:val="hybridMultilevel"/>
    <w:tmpl w:val="C9EE313A"/>
    <w:lvl w:ilvl="0" w:tplc="640A4FE0">
      <w:start w:val="1"/>
      <w:numFmt w:val="decimal"/>
      <w:pStyle w:val="Manc3"/>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16267B"/>
    <w:multiLevelType w:val="hybridMultilevel"/>
    <w:tmpl w:val="0B4E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C5BAC"/>
    <w:multiLevelType w:val="multilevel"/>
    <w:tmpl w:val="1A5E06FA"/>
    <w:lvl w:ilvl="0">
      <w:start w:val="3"/>
      <w:numFmt w:val="decimal"/>
      <w:lvlText w:val="%1."/>
      <w:lvlJc w:val="left"/>
      <w:pPr>
        <w:tabs>
          <w:tab w:val="num" w:pos="360"/>
        </w:tabs>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6A7561AB"/>
    <w:multiLevelType w:val="hybridMultilevel"/>
    <w:tmpl w:val="689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D3432"/>
    <w:multiLevelType w:val="hybridMultilevel"/>
    <w:tmpl w:val="4928E99C"/>
    <w:lvl w:ilvl="0" w:tplc="365024C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1022B"/>
    <w:multiLevelType w:val="hybridMultilevel"/>
    <w:tmpl w:val="9C922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3348ED"/>
    <w:multiLevelType w:val="multilevel"/>
    <w:tmpl w:val="2E5AC276"/>
    <w:lvl w:ilvl="0">
      <w:start w:val="1"/>
      <w:numFmt w:val="decimal"/>
      <w:pStyle w:val="LE1"/>
      <w:lvlText w:val="%1."/>
      <w:lvlJc w:val="left"/>
      <w:pPr>
        <w:tabs>
          <w:tab w:val="num" w:pos="720"/>
        </w:tabs>
        <w:ind w:left="720" w:hanging="720"/>
      </w:pPr>
      <w:rPr>
        <w:rFonts w:ascii="Arial" w:hAnsi="Arial" w:hint="default"/>
        <w:b/>
        <w:i w:val="0"/>
        <w:sz w:val="22"/>
        <w:u w:val="none"/>
      </w:rPr>
    </w:lvl>
    <w:lvl w:ilvl="1">
      <w:start w:val="1"/>
      <w:numFmt w:val="decimal"/>
      <w:pStyle w:val="LE2"/>
      <w:lvlText w:val="%1.%2"/>
      <w:lvlJc w:val="left"/>
      <w:pPr>
        <w:tabs>
          <w:tab w:val="num" w:pos="720"/>
        </w:tabs>
        <w:ind w:left="720" w:hanging="720"/>
      </w:pPr>
    </w:lvl>
    <w:lvl w:ilvl="2">
      <w:start w:val="1"/>
      <w:numFmt w:val="none"/>
      <w:pStyle w:val="LE3"/>
      <w:lvlText w:val=""/>
      <w:lvlJc w:val="left"/>
      <w:pPr>
        <w:tabs>
          <w:tab w:val="num" w:pos="720"/>
        </w:tabs>
        <w:ind w:left="720" w:hanging="380"/>
      </w:pPr>
    </w:lvl>
    <w:lvl w:ilvl="3">
      <w:start w:val="1"/>
      <w:numFmt w:val="lowerLetter"/>
      <w:pStyle w:val="LE4"/>
      <w:lvlText w:val="%4)"/>
      <w:lvlJc w:val="left"/>
      <w:pPr>
        <w:tabs>
          <w:tab w:val="num" w:pos="1474"/>
        </w:tabs>
        <w:ind w:left="1474" w:hanging="737"/>
      </w:pPr>
    </w:lvl>
    <w:lvl w:ilvl="4">
      <w:start w:val="1"/>
      <w:numFmt w:val="lowerRoman"/>
      <w:pStyle w:val="LE5"/>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B024F8E"/>
    <w:multiLevelType w:val="hybridMultilevel"/>
    <w:tmpl w:val="AF6A0360"/>
    <w:lvl w:ilvl="0" w:tplc="9F643B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090191">
    <w:abstractNumId w:val="2"/>
  </w:num>
  <w:num w:numId="2" w16cid:durableId="1762293414">
    <w:abstractNumId w:val="1"/>
  </w:num>
  <w:num w:numId="3" w16cid:durableId="1869105520">
    <w:abstractNumId w:val="0"/>
  </w:num>
  <w:num w:numId="4" w16cid:durableId="1027146470">
    <w:abstractNumId w:val="16"/>
  </w:num>
  <w:num w:numId="5" w16cid:durableId="1204749509">
    <w:abstractNumId w:val="3"/>
    <w:lvlOverride w:ilvl="0">
      <w:lvl w:ilvl="0">
        <w:start w:val="1"/>
        <w:numFmt w:val="bullet"/>
        <w:lvlText w:val=""/>
        <w:legacy w:legacy="1" w:legacySpace="0" w:legacyIndent="720"/>
        <w:lvlJc w:val="left"/>
        <w:pPr>
          <w:ind w:left="2160" w:hanging="720"/>
        </w:pPr>
        <w:rPr>
          <w:rFonts w:ascii="Arial" w:hAnsi="Arial" w:cs="Arial" w:hint="default"/>
        </w:rPr>
      </w:lvl>
    </w:lvlOverride>
  </w:num>
  <w:num w:numId="6" w16cid:durableId="1587954756">
    <w:abstractNumId w:val="26"/>
  </w:num>
  <w:num w:numId="7" w16cid:durableId="1056901694">
    <w:abstractNumId w:val="32"/>
  </w:num>
  <w:num w:numId="8" w16cid:durableId="1611089503">
    <w:abstractNumId w:val="32"/>
  </w:num>
  <w:num w:numId="9" w16cid:durableId="1871992345">
    <w:abstractNumId w:val="32"/>
  </w:num>
  <w:num w:numId="10" w16cid:durableId="1472207111">
    <w:abstractNumId w:val="32"/>
  </w:num>
  <w:num w:numId="11" w16cid:durableId="1320891059">
    <w:abstractNumId w:val="32"/>
  </w:num>
  <w:num w:numId="12" w16cid:durableId="948657258">
    <w:abstractNumId w:val="10"/>
  </w:num>
  <w:num w:numId="13" w16cid:durableId="1630629677">
    <w:abstractNumId w:val="10"/>
  </w:num>
  <w:num w:numId="14" w16cid:durableId="141315961">
    <w:abstractNumId w:val="10"/>
  </w:num>
  <w:num w:numId="15" w16cid:durableId="1940064300">
    <w:abstractNumId w:val="10"/>
  </w:num>
  <w:num w:numId="16" w16cid:durableId="1519464693">
    <w:abstractNumId w:val="22"/>
  </w:num>
  <w:num w:numId="17" w16cid:durableId="365833269">
    <w:abstractNumId w:val="6"/>
  </w:num>
  <w:num w:numId="18" w16cid:durableId="2054228366">
    <w:abstractNumId w:val="23"/>
  </w:num>
  <w:num w:numId="19" w16cid:durableId="1648631238">
    <w:abstractNumId w:val="19"/>
  </w:num>
  <w:num w:numId="20" w16cid:durableId="1091586297">
    <w:abstractNumId w:val="33"/>
  </w:num>
  <w:num w:numId="21" w16cid:durableId="1026756054">
    <w:abstractNumId w:val="24"/>
  </w:num>
  <w:num w:numId="22" w16cid:durableId="306856486">
    <w:abstractNumId w:val="8"/>
  </w:num>
  <w:num w:numId="23" w16cid:durableId="931160495">
    <w:abstractNumId w:val="25"/>
  </w:num>
  <w:num w:numId="24" w16cid:durableId="328220556">
    <w:abstractNumId w:val="5"/>
  </w:num>
  <w:num w:numId="25" w16cid:durableId="2083141850">
    <w:abstractNumId w:val="14"/>
  </w:num>
  <w:num w:numId="26" w16cid:durableId="2143842305">
    <w:abstractNumId w:val="12"/>
  </w:num>
  <w:num w:numId="27" w16cid:durableId="1048071591">
    <w:abstractNumId w:val="7"/>
  </w:num>
  <w:num w:numId="28" w16cid:durableId="1781101613">
    <w:abstractNumId w:val="31"/>
  </w:num>
  <w:num w:numId="29" w16cid:durableId="375130661">
    <w:abstractNumId w:val="20"/>
  </w:num>
  <w:num w:numId="30" w16cid:durableId="836919840">
    <w:abstractNumId w:val="27"/>
  </w:num>
  <w:num w:numId="31" w16cid:durableId="1499424268">
    <w:abstractNumId w:val="4"/>
  </w:num>
  <w:num w:numId="32" w16cid:durableId="1680694341">
    <w:abstractNumId w:val="30"/>
  </w:num>
  <w:num w:numId="33" w16cid:durableId="1978337137">
    <w:abstractNumId w:val="28"/>
  </w:num>
  <w:num w:numId="34" w16cid:durableId="1707023641">
    <w:abstractNumId w:val="17"/>
  </w:num>
  <w:num w:numId="35" w16cid:durableId="827986772">
    <w:abstractNumId w:val="29"/>
  </w:num>
  <w:num w:numId="36" w16cid:durableId="1672640730">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015798">
    <w:abstractNumId w:val="13"/>
  </w:num>
  <w:num w:numId="38" w16cid:durableId="1540043387">
    <w:abstractNumId w:val="9"/>
  </w:num>
  <w:num w:numId="39" w16cid:durableId="1485973123">
    <w:abstractNumId w:val="18"/>
  </w:num>
  <w:num w:numId="40" w16cid:durableId="974028079">
    <w:abstractNumId w:val="21"/>
  </w:num>
  <w:num w:numId="41" w16cid:durableId="1362899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MY" w:vendorID="64" w:dllVersion="6" w:nlCheck="1" w:checkStyle="1"/>
  <w:activeWritingStyle w:appName="MSWord" w:lang="en-GB" w:vendorID="64" w:dllVersion="0" w:nlCheck="1" w:checkStyle="0"/>
  <w:activeWritingStyle w:appName="MSWord" w:lang="en-US" w:vendorID="64" w:dllVersion="0" w:nlCheck="1" w:checkStyle="0"/>
  <w:activeWritingStyle w:appName="MSWord" w:lang="en-MY" w:vendorID="64" w:dllVersion="0" w:nlCheck="1" w:checkStyle="0"/>
  <w:activeWritingStyle w:appName="MSWord" w:lang="en-MY"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70"/>
    <w:rsid w:val="00001248"/>
    <w:rsid w:val="00012DDC"/>
    <w:rsid w:val="00016B69"/>
    <w:rsid w:val="00016B98"/>
    <w:rsid w:val="0001775C"/>
    <w:rsid w:val="00023077"/>
    <w:rsid w:val="00031C0E"/>
    <w:rsid w:val="00043310"/>
    <w:rsid w:val="000435BB"/>
    <w:rsid w:val="00050C2C"/>
    <w:rsid w:val="0006075D"/>
    <w:rsid w:val="000619E4"/>
    <w:rsid w:val="00065B96"/>
    <w:rsid w:val="00076B0A"/>
    <w:rsid w:val="000846C0"/>
    <w:rsid w:val="00090BCD"/>
    <w:rsid w:val="00093133"/>
    <w:rsid w:val="0009577E"/>
    <w:rsid w:val="00097E76"/>
    <w:rsid w:val="000A110A"/>
    <w:rsid w:val="000A3D8B"/>
    <w:rsid w:val="000A6B39"/>
    <w:rsid w:val="000B26AE"/>
    <w:rsid w:val="000B3B73"/>
    <w:rsid w:val="000B54FE"/>
    <w:rsid w:val="000C11F5"/>
    <w:rsid w:val="000C3619"/>
    <w:rsid w:val="000C57B7"/>
    <w:rsid w:val="000C6B05"/>
    <w:rsid w:val="000D0119"/>
    <w:rsid w:val="000D44A2"/>
    <w:rsid w:val="000D5C60"/>
    <w:rsid w:val="000D7C43"/>
    <w:rsid w:val="000D7F4B"/>
    <w:rsid w:val="000E333C"/>
    <w:rsid w:val="000E45C8"/>
    <w:rsid w:val="000E6966"/>
    <w:rsid w:val="000F2B4E"/>
    <w:rsid w:val="000F7A6C"/>
    <w:rsid w:val="00105DF8"/>
    <w:rsid w:val="00113C4E"/>
    <w:rsid w:val="00114C40"/>
    <w:rsid w:val="00114CE8"/>
    <w:rsid w:val="0012059D"/>
    <w:rsid w:val="00121E87"/>
    <w:rsid w:val="001245FF"/>
    <w:rsid w:val="00124EE4"/>
    <w:rsid w:val="001252A0"/>
    <w:rsid w:val="0013146D"/>
    <w:rsid w:val="00150A20"/>
    <w:rsid w:val="00167339"/>
    <w:rsid w:val="00167C14"/>
    <w:rsid w:val="00171356"/>
    <w:rsid w:val="001742F1"/>
    <w:rsid w:val="00177242"/>
    <w:rsid w:val="00181960"/>
    <w:rsid w:val="00183207"/>
    <w:rsid w:val="0018363D"/>
    <w:rsid w:val="00183AC2"/>
    <w:rsid w:val="00185943"/>
    <w:rsid w:val="00187646"/>
    <w:rsid w:val="00187AA6"/>
    <w:rsid w:val="001935D5"/>
    <w:rsid w:val="001A0448"/>
    <w:rsid w:val="001A3242"/>
    <w:rsid w:val="001A39D3"/>
    <w:rsid w:val="001A3A77"/>
    <w:rsid w:val="001A5EF5"/>
    <w:rsid w:val="001B2A1D"/>
    <w:rsid w:val="001B4BFF"/>
    <w:rsid w:val="001B4C3D"/>
    <w:rsid w:val="001B64C7"/>
    <w:rsid w:val="001C1E26"/>
    <w:rsid w:val="001C21C1"/>
    <w:rsid w:val="001C411C"/>
    <w:rsid w:val="001C47DA"/>
    <w:rsid w:val="001C4B4E"/>
    <w:rsid w:val="001C548E"/>
    <w:rsid w:val="001C590D"/>
    <w:rsid w:val="001D0B36"/>
    <w:rsid w:val="001D0CD1"/>
    <w:rsid w:val="001D0D95"/>
    <w:rsid w:val="001D588F"/>
    <w:rsid w:val="001D71D3"/>
    <w:rsid w:val="001E07C2"/>
    <w:rsid w:val="001E1600"/>
    <w:rsid w:val="001E2D88"/>
    <w:rsid w:val="001E68CB"/>
    <w:rsid w:val="001F3622"/>
    <w:rsid w:val="0020008E"/>
    <w:rsid w:val="0020056D"/>
    <w:rsid w:val="00201652"/>
    <w:rsid w:val="00202E27"/>
    <w:rsid w:val="00203604"/>
    <w:rsid w:val="00203DC2"/>
    <w:rsid w:val="0021069D"/>
    <w:rsid w:val="00226F15"/>
    <w:rsid w:val="002270E1"/>
    <w:rsid w:val="00230970"/>
    <w:rsid w:val="00231645"/>
    <w:rsid w:val="002320F7"/>
    <w:rsid w:val="002321D5"/>
    <w:rsid w:val="002321F3"/>
    <w:rsid w:val="002324F2"/>
    <w:rsid w:val="00234964"/>
    <w:rsid w:val="00235A15"/>
    <w:rsid w:val="002419BE"/>
    <w:rsid w:val="002443DE"/>
    <w:rsid w:val="002477B1"/>
    <w:rsid w:val="00247B5F"/>
    <w:rsid w:val="0025131C"/>
    <w:rsid w:val="002517D7"/>
    <w:rsid w:val="0025401D"/>
    <w:rsid w:val="00257F65"/>
    <w:rsid w:val="002633B7"/>
    <w:rsid w:val="002638B2"/>
    <w:rsid w:val="0026421D"/>
    <w:rsid w:val="00266AC7"/>
    <w:rsid w:val="00276399"/>
    <w:rsid w:val="00276999"/>
    <w:rsid w:val="00282653"/>
    <w:rsid w:val="00286D8B"/>
    <w:rsid w:val="00290D07"/>
    <w:rsid w:val="00292059"/>
    <w:rsid w:val="00292AE3"/>
    <w:rsid w:val="00293030"/>
    <w:rsid w:val="002942B9"/>
    <w:rsid w:val="00295A7A"/>
    <w:rsid w:val="002967B1"/>
    <w:rsid w:val="002A1608"/>
    <w:rsid w:val="002A2199"/>
    <w:rsid w:val="002A658F"/>
    <w:rsid w:val="002B19C2"/>
    <w:rsid w:val="002B1EBD"/>
    <w:rsid w:val="002B4CFC"/>
    <w:rsid w:val="002B67D8"/>
    <w:rsid w:val="002C1D8E"/>
    <w:rsid w:val="002D2773"/>
    <w:rsid w:val="002D2C4F"/>
    <w:rsid w:val="002D3CF6"/>
    <w:rsid w:val="002D4189"/>
    <w:rsid w:val="002D4610"/>
    <w:rsid w:val="002D49AD"/>
    <w:rsid w:val="002E63E1"/>
    <w:rsid w:val="002F1281"/>
    <w:rsid w:val="002F2DE8"/>
    <w:rsid w:val="002F462D"/>
    <w:rsid w:val="003011D0"/>
    <w:rsid w:val="003046DE"/>
    <w:rsid w:val="00305420"/>
    <w:rsid w:val="00306D2C"/>
    <w:rsid w:val="00306F6E"/>
    <w:rsid w:val="003070E5"/>
    <w:rsid w:val="00310418"/>
    <w:rsid w:val="00315C95"/>
    <w:rsid w:val="0031728C"/>
    <w:rsid w:val="00322AB2"/>
    <w:rsid w:val="003239AE"/>
    <w:rsid w:val="00323EBE"/>
    <w:rsid w:val="003252D2"/>
    <w:rsid w:val="003258FD"/>
    <w:rsid w:val="003270B0"/>
    <w:rsid w:val="003322E5"/>
    <w:rsid w:val="00332D3B"/>
    <w:rsid w:val="00333164"/>
    <w:rsid w:val="00335393"/>
    <w:rsid w:val="0034263E"/>
    <w:rsid w:val="00342961"/>
    <w:rsid w:val="0034334C"/>
    <w:rsid w:val="00344C2D"/>
    <w:rsid w:val="003465A0"/>
    <w:rsid w:val="003476C5"/>
    <w:rsid w:val="003546E8"/>
    <w:rsid w:val="00355BF6"/>
    <w:rsid w:val="00357A32"/>
    <w:rsid w:val="00361337"/>
    <w:rsid w:val="00361C01"/>
    <w:rsid w:val="00362255"/>
    <w:rsid w:val="00362C9F"/>
    <w:rsid w:val="0036572E"/>
    <w:rsid w:val="00376FEE"/>
    <w:rsid w:val="00381F1A"/>
    <w:rsid w:val="00383176"/>
    <w:rsid w:val="00384A2D"/>
    <w:rsid w:val="0038508E"/>
    <w:rsid w:val="00390472"/>
    <w:rsid w:val="003949D4"/>
    <w:rsid w:val="00394DFE"/>
    <w:rsid w:val="00395044"/>
    <w:rsid w:val="003A3928"/>
    <w:rsid w:val="003A4E5C"/>
    <w:rsid w:val="003A6BD5"/>
    <w:rsid w:val="003A763C"/>
    <w:rsid w:val="003B01FA"/>
    <w:rsid w:val="003B2DB8"/>
    <w:rsid w:val="003B4425"/>
    <w:rsid w:val="003B6448"/>
    <w:rsid w:val="003C10F2"/>
    <w:rsid w:val="003C3366"/>
    <w:rsid w:val="003C3DAA"/>
    <w:rsid w:val="003C4095"/>
    <w:rsid w:val="003C6033"/>
    <w:rsid w:val="003C6CFC"/>
    <w:rsid w:val="003C712E"/>
    <w:rsid w:val="003C752F"/>
    <w:rsid w:val="003C7882"/>
    <w:rsid w:val="003D269E"/>
    <w:rsid w:val="003D2A29"/>
    <w:rsid w:val="003D5011"/>
    <w:rsid w:val="003F10B3"/>
    <w:rsid w:val="003F6B1F"/>
    <w:rsid w:val="00413CA5"/>
    <w:rsid w:val="0041430E"/>
    <w:rsid w:val="00415C29"/>
    <w:rsid w:val="00416145"/>
    <w:rsid w:val="00417D2A"/>
    <w:rsid w:val="004237E7"/>
    <w:rsid w:val="004278F1"/>
    <w:rsid w:val="004343E6"/>
    <w:rsid w:val="00436FF1"/>
    <w:rsid w:val="004379D5"/>
    <w:rsid w:val="004400D6"/>
    <w:rsid w:val="004423A8"/>
    <w:rsid w:val="004432FA"/>
    <w:rsid w:val="00444040"/>
    <w:rsid w:val="00445ADC"/>
    <w:rsid w:val="0045763F"/>
    <w:rsid w:val="00463A7D"/>
    <w:rsid w:val="00472F13"/>
    <w:rsid w:val="00473C2E"/>
    <w:rsid w:val="00476C49"/>
    <w:rsid w:val="00483F22"/>
    <w:rsid w:val="00484E5A"/>
    <w:rsid w:val="004856E9"/>
    <w:rsid w:val="004870C2"/>
    <w:rsid w:val="00494709"/>
    <w:rsid w:val="00495ED1"/>
    <w:rsid w:val="0049634B"/>
    <w:rsid w:val="004B029D"/>
    <w:rsid w:val="004B4211"/>
    <w:rsid w:val="004C3725"/>
    <w:rsid w:val="004C6DA2"/>
    <w:rsid w:val="004C6E20"/>
    <w:rsid w:val="004D1F11"/>
    <w:rsid w:val="004D3F54"/>
    <w:rsid w:val="004D5B80"/>
    <w:rsid w:val="004D7EF0"/>
    <w:rsid w:val="004E0AAD"/>
    <w:rsid w:val="004E27AC"/>
    <w:rsid w:val="004E4621"/>
    <w:rsid w:val="004E7A31"/>
    <w:rsid w:val="004F194E"/>
    <w:rsid w:val="004F2456"/>
    <w:rsid w:val="004F30D9"/>
    <w:rsid w:val="00501D94"/>
    <w:rsid w:val="00513B70"/>
    <w:rsid w:val="00513E60"/>
    <w:rsid w:val="0051420B"/>
    <w:rsid w:val="00515441"/>
    <w:rsid w:val="00515E73"/>
    <w:rsid w:val="00521A0A"/>
    <w:rsid w:val="00521B68"/>
    <w:rsid w:val="00524E07"/>
    <w:rsid w:val="00524F2A"/>
    <w:rsid w:val="00525A6B"/>
    <w:rsid w:val="00526479"/>
    <w:rsid w:val="00530ADE"/>
    <w:rsid w:val="005315B1"/>
    <w:rsid w:val="005326E0"/>
    <w:rsid w:val="005358B0"/>
    <w:rsid w:val="00542A55"/>
    <w:rsid w:val="0054339D"/>
    <w:rsid w:val="00546877"/>
    <w:rsid w:val="00547147"/>
    <w:rsid w:val="00550AC7"/>
    <w:rsid w:val="00552086"/>
    <w:rsid w:val="005549FB"/>
    <w:rsid w:val="00554E67"/>
    <w:rsid w:val="005676CB"/>
    <w:rsid w:val="0057143C"/>
    <w:rsid w:val="00572EAA"/>
    <w:rsid w:val="00575C6D"/>
    <w:rsid w:val="005776F1"/>
    <w:rsid w:val="005817AB"/>
    <w:rsid w:val="00581A23"/>
    <w:rsid w:val="00587028"/>
    <w:rsid w:val="00592872"/>
    <w:rsid w:val="005A301E"/>
    <w:rsid w:val="005A597B"/>
    <w:rsid w:val="005A6532"/>
    <w:rsid w:val="005B055E"/>
    <w:rsid w:val="005B1590"/>
    <w:rsid w:val="005B1E40"/>
    <w:rsid w:val="005B27FD"/>
    <w:rsid w:val="005C1D0E"/>
    <w:rsid w:val="005C5B02"/>
    <w:rsid w:val="005D4DE3"/>
    <w:rsid w:val="005E2ABC"/>
    <w:rsid w:val="005E69DD"/>
    <w:rsid w:val="005F3E72"/>
    <w:rsid w:val="005F7E77"/>
    <w:rsid w:val="0060062E"/>
    <w:rsid w:val="006021DA"/>
    <w:rsid w:val="0060269F"/>
    <w:rsid w:val="0060384F"/>
    <w:rsid w:val="006074F3"/>
    <w:rsid w:val="006133C9"/>
    <w:rsid w:val="006159FF"/>
    <w:rsid w:val="0062042B"/>
    <w:rsid w:val="006221BD"/>
    <w:rsid w:val="00622885"/>
    <w:rsid w:val="0062387A"/>
    <w:rsid w:val="00632BD3"/>
    <w:rsid w:val="00632F76"/>
    <w:rsid w:val="0064170B"/>
    <w:rsid w:val="00643121"/>
    <w:rsid w:val="00644627"/>
    <w:rsid w:val="00647FF5"/>
    <w:rsid w:val="0065120B"/>
    <w:rsid w:val="00652ED8"/>
    <w:rsid w:val="00654EF6"/>
    <w:rsid w:val="0065552E"/>
    <w:rsid w:val="00655828"/>
    <w:rsid w:val="00662CF1"/>
    <w:rsid w:val="006669FF"/>
    <w:rsid w:val="00667DFA"/>
    <w:rsid w:val="006707D7"/>
    <w:rsid w:val="0067090F"/>
    <w:rsid w:val="00671618"/>
    <w:rsid w:val="00673411"/>
    <w:rsid w:val="0067753A"/>
    <w:rsid w:val="00680A34"/>
    <w:rsid w:val="006824EB"/>
    <w:rsid w:val="00683E7B"/>
    <w:rsid w:val="00690B73"/>
    <w:rsid w:val="006A7941"/>
    <w:rsid w:val="006B15F1"/>
    <w:rsid w:val="006B5FCE"/>
    <w:rsid w:val="006C1D2D"/>
    <w:rsid w:val="006D02F9"/>
    <w:rsid w:val="006D05A4"/>
    <w:rsid w:val="006D72F4"/>
    <w:rsid w:val="006E79DA"/>
    <w:rsid w:val="006F7109"/>
    <w:rsid w:val="006F7C4B"/>
    <w:rsid w:val="00704F4F"/>
    <w:rsid w:val="00711C9B"/>
    <w:rsid w:val="00711E6C"/>
    <w:rsid w:val="0072063C"/>
    <w:rsid w:val="00720743"/>
    <w:rsid w:val="0072485E"/>
    <w:rsid w:val="00733E77"/>
    <w:rsid w:val="00734346"/>
    <w:rsid w:val="00735C8E"/>
    <w:rsid w:val="00737882"/>
    <w:rsid w:val="0074035B"/>
    <w:rsid w:val="00742E97"/>
    <w:rsid w:val="00744B3E"/>
    <w:rsid w:val="00744BE1"/>
    <w:rsid w:val="00750987"/>
    <w:rsid w:val="007511F5"/>
    <w:rsid w:val="007571E9"/>
    <w:rsid w:val="007575F1"/>
    <w:rsid w:val="00761544"/>
    <w:rsid w:val="00764811"/>
    <w:rsid w:val="0076481B"/>
    <w:rsid w:val="007670DE"/>
    <w:rsid w:val="0077027D"/>
    <w:rsid w:val="00770AB5"/>
    <w:rsid w:val="00771600"/>
    <w:rsid w:val="00772231"/>
    <w:rsid w:val="007731E1"/>
    <w:rsid w:val="007738E6"/>
    <w:rsid w:val="00773C97"/>
    <w:rsid w:val="00775320"/>
    <w:rsid w:val="0078151F"/>
    <w:rsid w:val="00784178"/>
    <w:rsid w:val="00786A78"/>
    <w:rsid w:val="0078743B"/>
    <w:rsid w:val="00790A0B"/>
    <w:rsid w:val="00795748"/>
    <w:rsid w:val="00795A2B"/>
    <w:rsid w:val="007A30A9"/>
    <w:rsid w:val="007B08B8"/>
    <w:rsid w:val="007B0B58"/>
    <w:rsid w:val="007B148A"/>
    <w:rsid w:val="007B1EDF"/>
    <w:rsid w:val="007B2C71"/>
    <w:rsid w:val="007D1B4A"/>
    <w:rsid w:val="007D3AD4"/>
    <w:rsid w:val="007E01D6"/>
    <w:rsid w:val="007E04E5"/>
    <w:rsid w:val="007E6712"/>
    <w:rsid w:val="007E7DBA"/>
    <w:rsid w:val="007F083D"/>
    <w:rsid w:val="007F2549"/>
    <w:rsid w:val="007F5A1D"/>
    <w:rsid w:val="007F7625"/>
    <w:rsid w:val="0080069D"/>
    <w:rsid w:val="0080332C"/>
    <w:rsid w:val="008136F4"/>
    <w:rsid w:val="00814AB0"/>
    <w:rsid w:val="00815AD3"/>
    <w:rsid w:val="0082139B"/>
    <w:rsid w:val="00833690"/>
    <w:rsid w:val="008354DF"/>
    <w:rsid w:val="00841107"/>
    <w:rsid w:val="00844AB9"/>
    <w:rsid w:val="008455B6"/>
    <w:rsid w:val="008478E7"/>
    <w:rsid w:val="008532C2"/>
    <w:rsid w:val="008535BE"/>
    <w:rsid w:val="00856F5D"/>
    <w:rsid w:val="0086093C"/>
    <w:rsid w:val="00862513"/>
    <w:rsid w:val="00863D88"/>
    <w:rsid w:val="0086469E"/>
    <w:rsid w:val="008655AF"/>
    <w:rsid w:val="0086723E"/>
    <w:rsid w:val="00871C33"/>
    <w:rsid w:val="00872E37"/>
    <w:rsid w:val="00873EAB"/>
    <w:rsid w:val="00874B5A"/>
    <w:rsid w:val="00877E7B"/>
    <w:rsid w:val="008807E1"/>
    <w:rsid w:val="00880ED0"/>
    <w:rsid w:val="0088313D"/>
    <w:rsid w:val="00884839"/>
    <w:rsid w:val="00884E6E"/>
    <w:rsid w:val="00885F56"/>
    <w:rsid w:val="00885FEE"/>
    <w:rsid w:val="00886866"/>
    <w:rsid w:val="0089010E"/>
    <w:rsid w:val="00890FE3"/>
    <w:rsid w:val="0089307C"/>
    <w:rsid w:val="0089547C"/>
    <w:rsid w:val="008C0956"/>
    <w:rsid w:val="008C4A76"/>
    <w:rsid w:val="008C61DE"/>
    <w:rsid w:val="008D12EF"/>
    <w:rsid w:val="008D330D"/>
    <w:rsid w:val="008D51E0"/>
    <w:rsid w:val="008E0A19"/>
    <w:rsid w:val="008E1F3D"/>
    <w:rsid w:val="008E405A"/>
    <w:rsid w:val="008E4B6F"/>
    <w:rsid w:val="008E5B17"/>
    <w:rsid w:val="008F504D"/>
    <w:rsid w:val="00902591"/>
    <w:rsid w:val="009106B7"/>
    <w:rsid w:val="00911DA8"/>
    <w:rsid w:val="009203E8"/>
    <w:rsid w:val="009214B6"/>
    <w:rsid w:val="009223CC"/>
    <w:rsid w:val="009236C6"/>
    <w:rsid w:val="009263AE"/>
    <w:rsid w:val="00927913"/>
    <w:rsid w:val="00927A94"/>
    <w:rsid w:val="009379F9"/>
    <w:rsid w:val="00941D47"/>
    <w:rsid w:val="00945EF2"/>
    <w:rsid w:val="009465F6"/>
    <w:rsid w:val="00952822"/>
    <w:rsid w:val="00953211"/>
    <w:rsid w:val="00955701"/>
    <w:rsid w:val="009606A2"/>
    <w:rsid w:val="00962E4E"/>
    <w:rsid w:val="00974A35"/>
    <w:rsid w:val="00974E4F"/>
    <w:rsid w:val="0098157D"/>
    <w:rsid w:val="00981586"/>
    <w:rsid w:val="009823AB"/>
    <w:rsid w:val="00982E67"/>
    <w:rsid w:val="00982FEB"/>
    <w:rsid w:val="00984519"/>
    <w:rsid w:val="009865A6"/>
    <w:rsid w:val="009878BB"/>
    <w:rsid w:val="009A0D8F"/>
    <w:rsid w:val="009A255B"/>
    <w:rsid w:val="009A39A0"/>
    <w:rsid w:val="009A3DFF"/>
    <w:rsid w:val="009A4EFB"/>
    <w:rsid w:val="009A55DC"/>
    <w:rsid w:val="009A6D53"/>
    <w:rsid w:val="009B5E9D"/>
    <w:rsid w:val="009B6488"/>
    <w:rsid w:val="009C0871"/>
    <w:rsid w:val="009C405B"/>
    <w:rsid w:val="009C408D"/>
    <w:rsid w:val="009C6BF7"/>
    <w:rsid w:val="009D20B5"/>
    <w:rsid w:val="009D2361"/>
    <w:rsid w:val="009D2BBB"/>
    <w:rsid w:val="009D463A"/>
    <w:rsid w:val="009D5D06"/>
    <w:rsid w:val="009D71FE"/>
    <w:rsid w:val="009E46DF"/>
    <w:rsid w:val="009E7405"/>
    <w:rsid w:val="009F0650"/>
    <w:rsid w:val="00A00084"/>
    <w:rsid w:val="00A00C3A"/>
    <w:rsid w:val="00A01A5F"/>
    <w:rsid w:val="00A21663"/>
    <w:rsid w:val="00A2587B"/>
    <w:rsid w:val="00A30E92"/>
    <w:rsid w:val="00A433C0"/>
    <w:rsid w:val="00A51B26"/>
    <w:rsid w:val="00A565EE"/>
    <w:rsid w:val="00A60102"/>
    <w:rsid w:val="00A672DD"/>
    <w:rsid w:val="00A67A13"/>
    <w:rsid w:val="00A70100"/>
    <w:rsid w:val="00A70965"/>
    <w:rsid w:val="00A72B2E"/>
    <w:rsid w:val="00A735F4"/>
    <w:rsid w:val="00A73DBF"/>
    <w:rsid w:val="00A765AD"/>
    <w:rsid w:val="00A77662"/>
    <w:rsid w:val="00A812BE"/>
    <w:rsid w:val="00AA1ADF"/>
    <w:rsid w:val="00AA5945"/>
    <w:rsid w:val="00AA6757"/>
    <w:rsid w:val="00AA7C6F"/>
    <w:rsid w:val="00AB034F"/>
    <w:rsid w:val="00AC052C"/>
    <w:rsid w:val="00AC4695"/>
    <w:rsid w:val="00AC679D"/>
    <w:rsid w:val="00AD0F86"/>
    <w:rsid w:val="00AD48CF"/>
    <w:rsid w:val="00AD7AE0"/>
    <w:rsid w:val="00AE0473"/>
    <w:rsid w:val="00AE18D7"/>
    <w:rsid w:val="00AE2D22"/>
    <w:rsid w:val="00AE7129"/>
    <w:rsid w:val="00AE77EA"/>
    <w:rsid w:val="00AF279C"/>
    <w:rsid w:val="00AF34B9"/>
    <w:rsid w:val="00AF5079"/>
    <w:rsid w:val="00AF584C"/>
    <w:rsid w:val="00B0291B"/>
    <w:rsid w:val="00B059BA"/>
    <w:rsid w:val="00B07EDF"/>
    <w:rsid w:val="00B1090C"/>
    <w:rsid w:val="00B13B53"/>
    <w:rsid w:val="00B14C1B"/>
    <w:rsid w:val="00B15FC2"/>
    <w:rsid w:val="00B21F61"/>
    <w:rsid w:val="00B24D9F"/>
    <w:rsid w:val="00B256D7"/>
    <w:rsid w:val="00B316FD"/>
    <w:rsid w:val="00B34161"/>
    <w:rsid w:val="00B35142"/>
    <w:rsid w:val="00B35BDD"/>
    <w:rsid w:val="00B41C72"/>
    <w:rsid w:val="00B445B8"/>
    <w:rsid w:val="00B4476C"/>
    <w:rsid w:val="00B46892"/>
    <w:rsid w:val="00B54DE0"/>
    <w:rsid w:val="00B553F2"/>
    <w:rsid w:val="00B57BF9"/>
    <w:rsid w:val="00B6103F"/>
    <w:rsid w:val="00B61F0E"/>
    <w:rsid w:val="00B66CD6"/>
    <w:rsid w:val="00B71869"/>
    <w:rsid w:val="00B720ED"/>
    <w:rsid w:val="00B72844"/>
    <w:rsid w:val="00B72E51"/>
    <w:rsid w:val="00B74837"/>
    <w:rsid w:val="00B77A96"/>
    <w:rsid w:val="00B84249"/>
    <w:rsid w:val="00B84CC9"/>
    <w:rsid w:val="00B8735F"/>
    <w:rsid w:val="00B91E0C"/>
    <w:rsid w:val="00B96132"/>
    <w:rsid w:val="00BA22DC"/>
    <w:rsid w:val="00BA4D85"/>
    <w:rsid w:val="00BA7307"/>
    <w:rsid w:val="00BB1A7C"/>
    <w:rsid w:val="00BC1357"/>
    <w:rsid w:val="00BC621A"/>
    <w:rsid w:val="00BD1AC8"/>
    <w:rsid w:val="00BD25E3"/>
    <w:rsid w:val="00BD294B"/>
    <w:rsid w:val="00BD3E58"/>
    <w:rsid w:val="00BD40E9"/>
    <w:rsid w:val="00BD49E4"/>
    <w:rsid w:val="00BD7D88"/>
    <w:rsid w:val="00BF0B3E"/>
    <w:rsid w:val="00BF6237"/>
    <w:rsid w:val="00C05987"/>
    <w:rsid w:val="00C05BFA"/>
    <w:rsid w:val="00C10F74"/>
    <w:rsid w:val="00C1372A"/>
    <w:rsid w:val="00C17167"/>
    <w:rsid w:val="00C174B6"/>
    <w:rsid w:val="00C20AAC"/>
    <w:rsid w:val="00C33E4E"/>
    <w:rsid w:val="00C40C87"/>
    <w:rsid w:val="00C428E9"/>
    <w:rsid w:val="00C46ED9"/>
    <w:rsid w:val="00C63986"/>
    <w:rsid w:val="00C73315"/>
    <w:rsid w:val="00C734DA"/>
    <w:rsid w:val="00C81392"/>
    <w:rsid w:val="00C82E01"/>
    <w:rsid w:val="00C86DB5"/>
    <w:rsid w:val="00C87842"/>
    <w:rsid w:val="00C9211E"/>
    <w:rsid w:val="00C94E51"/>
    <w:rsid w:val="00CA1265"/>
    <w:rsid w:val="00CA2811"/>
    <w:rsid w:val="00CA2A00"/>
    <w:rsid w:val="00CA365D"/>
    <w:rsid w:val="00CA621D"/>
    <w:rsid w:val="00CA6B15"/>
    <w:rsid w:val="00CB0714"/>
    <w:rsid w:val="00CB13B7"/>
    <w:rsid w:val="00CB261F"/>
    <w:rsid w:val="00CB6341"/>
    <w:rsid w:val="00CB70BD"/>
    <w:rsid w:val="00CB7800"/>
    <w:rsid w:val="00CC12B1"/>
    <w:rsid w:val="00CC7233"/>
    <w:rsid w:val="00CD1113"/>
    <w:rsid w:val="00CD4A59"/>
    <w:rsid w:val="00CE10CB"/>
    <w:rsid w:val="00CE16AA"/>
    <w:rsid w:val="00CE3816"/>
    <w:rsid w:val="00CE64DF"/>
    <w:rsid w:val="00CF06FA"/>
    <w:rsid w:val="00CF2010"/>
    <w:rsid w:val="00CF4583"/>
    <w:rsid w:val="00D01660"/>
    <w:rsid w:val="00D047C3"/>
    <w:rsid w:val="00D0632A"/>
    <w:rsid w:val="00D07273"/>
    <w:rsid w:val="00D13AD0"/>
    <w:rsid w:val="00D155B2"/>
    <w:rsid w:val="00D17658"/>
    <w:rsid w:val="00D17C51"/>
    <w:rsid w:val="00D32DC3"/>
    <w:rsid w:val="00D460F6"/>
    <w:rsid w:val="00D519CD"/>
    <w:rsid w:val="00D53775"/>
    <w:rsid w:val="00D55EA1"/>
    <w:rsid w:val="00D57FF4"/>
    <w:rsid w:val="00D61A81"/>
    <w:rsid w:val="00D6389F"/>
    <w:rsid w:val="00D63CB4"/>
    <w:rsid w:val="00D63E44"/>
    <w:rsid w:val="00D73983"/>
    <w:rsid w:val="00D73F13"/>
    <w:rsid w:val="00D74AE2"/>
    <w:rsid w:val="00D8585E"/>
    <w:rsid w:val="00D86C9B"/>
    <w:rsid w:val="00D91505"/>
    <w:rsid w:val="00DA0DB4"/>
    <w:rsid w:val="00DA2104"/>
    <w:rsid w:val="00DA230C"/>
    <w:rsid w:val="00DA301F"/>
    <w:rsid w:val="00DA312B"/>
    <w:rsid w:val="00DA6B4C"/>
    <w:rsid w:val="00DB0D1F"/>
    <w:rsid w:val="00DB2155"/>
    <w:rsid w:val="00DB3BFF"/>
    <w:rsid w:val="00DB4C98"/>
    <w:rsid w:val="00DC1331"/>
    <w:rsid w:val="00DC2E96"/>
    <w:rsid w:val="00DC3A72"/>
    <w:rsid w:val="00DC3CDD"/>
    <w:rsid w:val="00DC59AA"/>
    <w:rsid w:val="00DC5C11"/>
    <w:rsid w:val="00DC628E"/>
    <w:rsid w:val="00DC7264"/>
    <w:rsid w:val="00DD21D2"/>
    <w:rsid w:val="00DE0620"/>
    <w:rsid w:val="00DE12DE"/>
    <w:rsid w:val="00DE426B"/>
    <w:rsid w:val="00DE42CA"/>
    <w:rsid w:val="00DE7934"/>
    <w:rsid w:val="00DF0FBF"/>
    <w:rsid w:val="00DF2C5C"/>
    <w:rsid w:val="00DF58F4"/>
    <w:rsid w:val="00E0765E"/>
    <w:rsid w:val="00E10671"/>
    <w:rsid w:val="00E10F2C"/>
    <w:rsid w:val="00E1461E"/>
    <w:rsid w:val="00E14B1B"/>
    <w:rsid w:val="00E2586C"/>
    <w:rsid w:val="00E277F3"/>
    <w:rsid w:val="00E27CE9"/>
    <w:rsid w:val="00E30078"/>
    <w:rsid w:val="00E32AB8"/>
    <w:rsid w:val="00E33209"/>
    <w:rsid w:val="00E3420F"/>
    <w:rsid w:val="00E41473"/>
    <w:rsid w:val="00E45A84"/>
    <w:rsid w:val="00E474D3"/>
    <w:rsid w:val="00E476E5"/>
    <w:rsid w:val="00E514DB"/>
    <w:rsid w:val="00E574A0"/>
    <w:rsid w:val="00E600AC"/>
    <w:rsid w:val="00E60C18"/>
    <w:rsid w:val="00E64845"/>
    <w:rsid w:val="00E67D52"/>
    <w:rsid w:val="00E71A7F"/>
    <w:rsid w:val="00E71F5E"/>
    <w:rsid w:val="00E74873"/>
    <w:rsid w:val="00E80E12"/>
    <w:rsid w:val="00E826CD"/>
    <w:rsid w:val="00E85F10"/>
    <w:rsid w:val="00E87592"/>
    <w:rsid w:val="00E90AF2"/>
    <w:rsid w:val="00E90D97"/>
    <w:rsid w:val="00E922D3"/>
    <w:rsid w:val="00E93A61"/>
    <w:rsid w:val="00E94619"/>
    <w:rsid w:val="00E94C88"/>
    <w:rsid w:val="00EA4DDC"/>
    <w:rsid w:val="00EB01CB"/>
    <w:rsid w:val="00EB228C"/>
    <w:rsid w:val="00EB4813"/>
    <w:rsid w:val="00EC002C"/>
    <w:rsid w:val="00EC06FC"/>
    <w:rsid w:val="00EC5A4D"/>
    <w:rsid w:val="00EC6724"/>
    <w:rsid w:val="00ED22FB"/>
    <w:rsid w:val="00ED4A34"/>
    <w:rsid w:val="00ED5417"/>
    <w:rsid w:val="00ED5D1D"/>
    <w:rsid w:val="00ED7C1D"/>
    <w:rsid w:val="00ED7F76"/>
    <w:rsid w:val="00EE0D1F"/>
    <w:rsid w:val="00EE1B06"/>
    <w:rsid w:val="00EE24A0"/>
    <w:rsid w:val="00EE785D"/>
    <w:rsid w:val="00EE7F9B"/>
    <w:rsid w:val="00EF082E"/>
    <w:rsid w:val="00EF0AF1"/>
    <w:rsid w:val="00EF192A"/>
    <w:rsid w:val="00EF3912"/>
    <w:rsid w:val="00EF5AA3"/>
    <w:rsid w:val="00EF7D56"/>
    <w:rsid w:val="00F00CA5"/>
    <w:rsid w:val="00F10D75"/>
    <w:rsid w:val="00F11266"/>
    <w:rsid w:val="00F11E5B"/>
    <w:rsid w:val="00F14371"/>
    <w:rsid w:val="00F16DD5"/>
    <w:rsid w:val="00F240FE"/>
    <w:rsid w:val="00F24BF9"/>
    <w:rsid w:val="00F308BA"/>
    <w:rsid w:val="00F32DDE"/>
    <w:rsid w:val="00F33115"/>
    <w:rsid w:val="00F357B9"/>
    <w:rsid w:val="00F35841"/>
    <w:rsid w:val="00F35B4A"/>
    <w:rsid w:val="00F3626E"/>
    <w:rsid w:val="00F40BF1"/>
    <w:rsid w:val="00F423BE"/>
    <w:rsid w:val="00F50DE7"/>
    <w:rsid w:val="00F55527"/>
    <w:rsid w:val="00F66330"/>
    <w:rsid w:val="00F70D8E"/>
    <w:rsid w:val="00F72E6C"/>
    <w:rsid w:val="00F73BDE"/>
    <w:rsid w:val="00F759D1"/>
    <w:rsid w:val="00F778FC"/>
    <w:rsid w:val="00F81624"/>
    <w:rsid w:val="00F81B49"/>
    <w:rsid w:val="00F8226F"/>
    <w:rsid w:val="00F83744"/>
    <w:rsid w:val="00F95BDB"/>
    <w:rsid w:val="00F970BA"/>
    <w:rsid w:val="00FA1C4B"/>
    <w:rsid w:val="00FA3776"/>
    <w:rsid w:val="00FB64C4"/>
    <w:rsid w:val="00FC017A"/>
    <w:rsid w:val="00FC2548"/>
    <w:rsid w:val="00FC7B9D"/>
    <w:rsid w:val="00FD7217"/>
    <w:rsid w:val="00FE0F13"/>
    <w:rsid w:val="00FE10C9"/>
    <w:rsid w:val="00FE19B3"/>
    <w:rsid w:val="00FE4DD9"/>
    <w:rsid w:val="00FE695F"/>
    <w:rsid w:val="00FE6E3E"/>
    <w:rsid w:val="00FE75DB"/>
    <w:rsid w:val="00FF1DAA"/>
    <w:rsid w:val="00FF1E2B"/>
    <w:rsid w:val="00FF2549"/>
    <w:rsid w:val="00FF435B"/>
    <w:rsid w:val="00FF4665"/>
    <w:rsid w:val="00FF4EFC"/>
    <w:rsid w:val="00FF5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0FC1C"/>
  <w15:chartTrackingRefBased/>
  <w15:docId w15:val="{996A3B2A-A5A8-4C56-AA41-611E86CF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970"/>
    <w:pPr>
      <w:widowControl w:val="0"/>
      <w:spacing w:before="120" w:after="120"/>
      <w:jc w:val="both"/>
    </w:pPr>
    <w:rPr>
      <w:rFonts w:asciiTheme="minorHAnsi" w:eastAsia="SimSun" w:hAnsiTheme="minorHAnsi"/>
      <w:kern w:val="2"/>
      <w:szCs w:val="22"/>
      <w:lang w:eastAsia="zh-CN"/>
    </w:rPr>
  </w:style>
  <w:style w:type="paragraph" w:styleId="Heading1">
    <w:name w:val="heading 1"/>
    <w:basedOn w:val="BodyText1"/>
    <w:next w:val="BodyText1"/>
    <w:qFormat/>
    <w:pPr>
      <w:keepNext/>
      <w:spacing w:before="480" w:after="240"/>
      <w:outlineLvl w:val="0"/>
    </w:pPr>
    <w:rPr>
      <w:b/>
      <w:sz w:val="28"/>
    </w:rPr>
  </w:style>
  <w:style w:type="paragraph" w:styleId="Heading2">
    <w:name w:val="heading 2"/>
    <w:basedOn w:val="BodyText1"/>
    <w:next w:val="BodyText1"/>
    <w:link w:val="Heading2Char"/>
    <w:qFormat/>
    <w:pPr>
      <w:keepNext/>
      <w:spacing w:before="240" w:after="240"/>
      <w:outlineLvl w:val="1"/>
    </w:pPr>
    <w:rPr>
      <w:b/>
      <w:sz w:val="24"/>
    </w:rPr>
  </w:style>
  <w:style w:type="paragraph" w:styleId="Heading3">
    <w:name w:val="heading 3"/>
    <w:basedOn w:val="BodyText1"/>
    <w:next w:val="BodyText1"/>
    <w:qFormat/>
    <w:pPr>
      <w:keepNext/>
      <w:spacing w:before="240"/>
      <w:outlineLvl w:val="2"/>
    </w:pPr>
    <w:rPr>
      <w:b/>
    </w:rPr>
  </w:style>
  <w:style w:type="paragraph" w:styleId="Heading4">
    <w:name w:val="heading 4"/>
    <w:basedOn w:val="Normal"/>
    <w:next w:val="Normal"/>
    <w:qFormat/>
    <w:pPr>
      <w:keepNext/>
      <w:spacing w:before="240" w:after="60"/>
      <w:outlineLvl w:val="3"/>
    </w:pPr>
    <w:rPr>
      <w:b/>
      <w:sz w:val="24"/>
      <w:szCs w:val="20"/>
    </w:rPr>
  </w:style>
  <w:style w:type="paragraph" w:styleId="Heading7">
    <w:name w:val="heading 7"/>
    <w:basedOn w:val="Normal"/>
    <w:next w:val="Normal"/>
    <w:link w:val="Heading7Char"/>
    <w:semiHidden/>
    <w:unhideWhenUsed/>
    <w:qFormat/>
    <w:rsid w:val="00890FE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keepLines/>
    </w:pPr>
    <w:rPr>
      <w:szCs w:val="20"/>
    </w:rPr>
  </w:style>
  <w:style w:type="paragraph" w:customStyle="1" w:styleId="BodyTextIndent1">
    <w:name w:val="Body Text Indent1"/>
    <w:basedOn w:val="BodyText1"/>
    <w:pPr>
      <w:ind w:left="576"/>
    </w:pPr>
  </w:style>
  <w:style w:type="paragraph" w:styleId="EnvelopeAddress">
    <w:name w:val="envelope address"/>
    <w:basedOn w:val="Normal"/>
    <w:pPr>
      <w:framePr w:w="7920" w:h="1980" w:hRule="exact" w:hSpace="180" w:wrap="auto" w:hAnchor="page" w:xAlign="center" w:yAlign="bottom"/>
      <w:ind w:left="2880"/>
    </w:pPr>
    <w:rPr>
      <w:szCs w:val="20"/>
    </w:rPr>
  </w:style>
  <w:style w:type="paragraph" w:styleId="Header">
    <w:name w:val="header"/>
    <w:aliases w:val="odd,header(G-I),8font"/>
    <w:basedOn w:val="BodyText1"/>
    <w:link w:val="HeaderChar"/>
    <w:uiPriority w:val="99"/>
    <w:pPr>
      <w:tabs>
        <w:tab w:val="right" w:pos="9720"/>
      </w:tabs>
    </w:pPr>
  </w:style>
  <w:style w:type="paragraph" w:customStyle="1" w:styleId="headerline">
    <w:name w:val="header line"/>
    <w:basedOn w:val="BodyText1"/>
    <w:pPr>
      <w:pBdr>
        <w:bottom w:val="single" w:sz="6" w:space="3" w:color="auto"/>
      </w:pBdr>
    </w:pPr>
  </w:style>
  <w:style w:type="paragraph" w:customStyle="1" w:styleId="LineBelowHeader">
    <w:name w:val="Line Below Header"/>
    <w:basedOn w:val="Header"/>
    <w:next w:val="BodyText1"/>
    <w:pPr>
      <w:spacing w:after="240"/>
    </w:pPr>
  </w:style>
  <w:style w:type="character" w:styleId="LineNumber">
    <w:name w:val="line number"/>
    <w:basedOn w:val="DefaultParagraphFont"/>
    <w:rPr>
      <w:rFonts w:ascii="Arial" w:hAnsi="Arial"/>
    </w:rPr>
  </w:style>
  <w:style w:type="paragraph" w:styleId="NormalIndent">
    <w:name w:val="Normal Indent"/>
    <w:basedOn w:val="Normal"/>
    <w:pPr>
      <w:tabs>
        <w:tab w:val="left" w:pos="720"/>
        <w:tab w:val="left" w:pos="1440"/>
        <w:tab w:val="left" w:pos="2160"/>
        <w:tab w:val="left" w:pos="2880"/>
        <w:tab w:val="left" w:pos="3600"/>
        <w:tab w:val="left" w:pos="4320"/>
        <w:tab w:val="left" w:pos="5040"/>
      </w:tabs>
      <w:ind w:left="720" w:hanging="720"/>
    </w:pPr>
    <w:rPr>
      <w:szCs w:val="20"/>
    </w:rPr>
  </w:style>
  <w:style w:type="character" w:styleId="PageNumber">
    <w:name w:val="page number"/>
    <w:basedOn w:val="DefaultParagraphFont"/>
    <w:rPr>
      <w:rFonts w:ascii="Arial" w:hAnsi="Arial"/>
    </w:rPr>
  </w:style>
  <w:style w:type="paragraph" w:styleId="ListBullet">
    <w:name w:val="List Bullet"/>
    <w:basedOn w:val="Normal"/>
    <w:pPr>
      <w:tabs>
        <w:tab w:val="left" w:pos="720"/>
      </w:tabs>
      <w:ind w:left="720" w:hanging="720"/>
    </w:pPr>
    <w:rPr>
      <w:szCs w:val="20"/>
    </w:rPr>
  </w:style>
  <w:style w:type="paragraph" w:styleId="ListBullet2">
    <w:name w:val="List Bullet 2"/>
    <w:basedOn w:val="Normal"/>
    <w:pPr>
      <w:ind w:left="1440" w:hanging="720"/>
    </w:pPr>
    <w:rPr>
      <w:szCs w:val="20"/>
    </w:rPr>
  </w:style>
  <w:style w:type="paragraph" w:styleId="ListBullet3">
    <w:name w:val="List Bullet 3"/>
    <w:basedOn w:val="Normal"/>
    <w:pPr>
      <w:ind w:left="2160" w:hanging="720"/>
    </w:pPr>
    <w:rPr>
      <w:szCs w:val="20"/>
    </w:rPr>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BodyText">
    <w:name w:val="Body Text"/>
    <w:basedOn w:val="Normal"/>
    <w:link w:val="BodyTextChar"/>
    <w:uiPriority w:val="99"/>
    <w:qFormat/>
    <w:rsid w:val="004F194E"/>
    <w:pPr>
      <w:autoSpaceDE w:val="0"/>
      <w:autoSpaceDN w:val="0"/>
      <w:adjustRightInd w:val="0"/>
      <w:spacing w:before="33"/>
      <w:ind w:left="280" w:hanging="180"/>
    </w:pPr>
    <w:rPr>
      <w:rFonts w:eastAsiaTheme="minorEastAsia" w:cs="Arial"/>
      <w:sz w:val="18"/>
      <w:szCs w:val="18"/>
      <w:lang w:val="en-US"/>
    </w:rPr>
  </w:style>
  <w:style w:type="paragraph" w:styleId="BodyText2">
    <w:name w:val="Body Text 2"/>
    <w:basedOn w:val="Normal"/>
    <w:rPr>
      <w:rFonts w:ascii="Trebuchet MS" w:hAnsi="Trebuchet MS"/>
      <w:b/>
      <w:sz w:val="28"/>
    </w:rPr>
  </w:style>
  <w:style w:type="paragraph" w:styleId="NormalWeb">
    <w:name w:val="Normal (Web)"/>
    <w:basedOn w:val="Normal"/>
    <w:pPr>
      <w:spacing w:before="100" w:beforeAutospacing="1" w:after="100" w:afterAutospacing="1"/>
    </w:pPr>
    <w:rPr>
      <w:rFonts w:cs="Arial"/>
      <w:color w:val="000000"/>
      <w:sz w:val="19"/>
      <w:szCs w:val="19"/>
    </w:rPr>
  </w:style>
  <w:style w:type="paragraph" w:customStyle="1" w:styleId="Manc1">
    <w:name w:val="Manc1"/>
    <w:autoRedefine/>
    <w:rsid w:val="002A658F"/>
    <w:pPr>
      <w:spacing w:before="120" w:after="240"/>
      <w:jc w:val="both"/>
    </w:pPr>
    <w:rPr>
      <w:rFonts w:ascii="Arial" w:hAnsi="Arial"/>
      <w:sz w:val="22"/>
      <w:szCs w:val="24"/>
      <w:lang w:eastAsia="en-US"/>
    </w:rPr>
  </w:style>
  <w:style w:type="paragraph" w:customStyle="1" w:styleId="Manc2">
    <w:name w:val="Manc2"/>
    <w:autoRedefine/>
    <w:rsid w:val="002A658F"/>
    <w:pPr>
      <w:numPr>
        <w:numId w:val="4"/>
      </w:numPr>
      <w:spacing w:before="120" w:after="240"/>
      <w:jc w:val="both"/>
      <w:outlineLvl w:val="0"/>
    </w:pPr>
    <w:rPr>
      <w:rFonts w:ascii="Arial" w:hAnsi="Arial"/>
      <w:sz w:val="22"/>
      <w:szCs w:val="24"/>
      <w:lang w:eastAsia="en-US"/>
    </w:rPr>
  </w:style>
  <w:style w:type="paragraph" w:customStyle="1" w:styleId="Manc3">
    <w:name w:val="Manc3"/>
    <w:autoRedefine/>
    <w:rsid w:val="002A658F"/>
    <w:pPr>
      <w:numPr>
        <w:numId w:val="6"/>
      </w:numPr>
      <w:spacing w:before="240" w:after="120"/>
      <w:jc w:val="both"/>
      <w:outlineLvl w:val="0"/>
    </w:pPr>
    <w:rPr>
      <w:rFonts w:ascii="Arial" w:hAnsi="Arial"/>
      <w:sz w:val="22"/>
      <w:szCs w:val="24"/>
      <w:lang w:eastAsia="en-US"/>
    </w:rPr>
  </w:style>
  <w:style w:type="paragraph" w:customStyle="1" w:styleId="Manc4">
    <w:name w:val="Manc4"/>
    <w:autoRedefine/>
    <w:rsid w:val="002A658F"/>
    <w:pPr>
      <w:spacing w:before="120" w:after="240"/>
      <w:ind w:firstLine="1418"/>
      <w:jc w:val="both"/>
      <w:outlineLvl w:val="1"/>
    </w:pPr>
    <w:rPr>
      <w:rFonts w:ascii="Arial" w:hAnsi="Arial"/>
      <w:sz w:val="22"/>
      <w:szCs w:val="24"/>
      <w:lang w:eastAsia="en-US"/>
    </w:rPr>
  </w:style>
  <w:style w:type="paragraph" w:customStyle="1" w:styleId="Manc5">
    <w:name w:val="Manc5"/>
    <w:autoRedefine/>
    <w:rsid w:val="002A658F"/>
    <w:pPr>
      <w:spacing w:before="120" w:after="120"/>
      <w:ind w:left="357" w:hanging="357"/>
      <w:jc w:val="both"/>
    </w:pPr>
    <w:rPr>
      <w:rFonts w:ascii="Arial" w:hAnsi="Arial"/>
      <w:sz w:val="22"/>
      <w:szCs w:val="24"/>
      <w:lang w:eastAsia="en-US"/>
    </w:rPr>
  </w:style>
  <w:style w:type="paragraph" w:customStyle="1" w:styleId="LE1">
    <w:name w:val="LE1"/>
    <w:basedOn w:val="Normal"/>
    <w:rsid w:val="005C1D0E"/>
    <w:pPr>
      <w:keepNext/>
      <w:numPr>
        <w:numId w:val="11"/>
      </w:numPr>
    </w:pPr>
    <w:rPr>
      <w:b/>
      <w:szCs w:val="20"/>
    </w:rPr>
  </w:style>
  <w:style w:type="paragraph" w:customStyle="1" w:styleId="LE2">
    <w:name w:val="LE2"/>
    <w:basedOn w:val="Normal"/>
    <w:rsid w:val="005C1D0E"/>
    <w:pPr>
      <w:numPr>
        <w:ilvl w:val="1"/>
        <w:numId w:val="11"/>
      </w:numPr>
    </w:pPr>
    <w:rPr>
      <w:szCs w:val="20"/>
    </w:rPr>
  </w:style>
  <w:style w:type="paragraph" w:customStyle="1" w:styleId="LE3">
    <w:name w:val="LE3"/>
    <w:basedOn w:val="Normal"/>
    <w:rsid w:val="005C1D0E"/>
    <w:pPr>
      <w:numPr>
        <w:ilvl w:val="2"/>
        <w:numId w:val="11"/>
      </w:numPr>
    </w:pPr>
    <w:rPr>
      <w:szCs w:val="20"/>
    </w:rPr>
  </w:style>
  <w:style w:type="paragraph" w:customStyle="1" w:styleId="LE4">
    <w:name w:val="LE4"/>
    <w:basedOn w:val="Normal"/>
    <w:rsid w:val="005C1D0E"/>
    <w:pPr>
      <w:numPr>
        <w:ilvl w:val="3"/>
        <w:numId w:val="11"/>
      </w:numPr>
    </w:pPr>
    <w:rPr>
      <w:szCs w:val="20"/>
    </w:rPr>
  </w:style>
  <w:style w:type="paragraph" w:customStyle="1" w:styleId="LE5">
    <w:name w:val="LE5"/>
    <w:basedOn w:val="Normal"/>
    <w:rsid w:val="005C1D0E"/>
    <w:pPr>
      <w:numPr>
        <w:ilvl w:val="4"/>
        <w:numId w:val="11"/>
      </w:numPr>
    </w:pPr>
    <w:rPr>
      <w:szCs w:val="20"/>
    </w:rPr>
  </w:style>
  <w:style w:type="paragraph" w:styleId="BalloonText">
    <w:name w:val="Balloon Text"/>
    <w:basedOn w:val="Normal"/>
    <w:link w:val="BalloonTextChar"/>
    <w:rsid w:val="004F194E"/>
    <w:pPr>
      <w:autoSpaceDE w:val="0"/>
      <w:autoSpaceDN w:val="0"/>
      <w:adjustRightInd w:val="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rsid w:val="004F194E"/>
    <w:rPr>
      <w:rFonts w:ascii="Tahoma" w:eastAsiaTheme="minorEastAsia" w:hAnsi="Tahoma" w:cs="Tahoma"/>
      <w:sz w:val="16"/>
      <w:szCs w:val="16"/>
      <w:lang w:val="en-US" w:eastAsia="en-US"/>
    </w:rPr>
  </w:style>
  <w:style w:type="paragraph" w:customStyle="1" w:styleId="BlockQuote">
    <w:name w:val="Block Quote"/>
    <w:basedOn w:val="Normal"/>
    <w:next w:val="Normal"/>
    <w:uiPriority w:val="1"/>
    <w:qFormat/>
    <w:rsid w:val="004F194E"/>
    <w:pPr>
      <w:kinsoku w:val="0"/>
      <w:overflowPunct w:val="0"/>
      <w:autoSpaceDE w:val="0"/>
      <w:autoSpaceDN w:val="0"/>
      <w:adjustRightInd w:val="0"/>
      <w:ind w:left="360"/>
    </w:pPr>
    <w:rPr>
      <w:rFonts w:eastAsiaTheme="minorEastAsia"/>
      <w:color w:val="000000" w:themeColor="text1"/>
      <w:spacing w:val="-5"/>
      <w:szCs w:val="20"/>
      <w:lang w:val="en-US"/>
    </w:rPr>
  </w:style>
  <w:style w:type="paragraph" w:customStyle="1" w:styleId="BodyCopy">
    <w:name w:val="Body Copy"/>
    <w:basedOn w:val="Normal"/>
    <w:next w:val="Normal"/>
    <w:uiPriority w:val="1"/>
    <w:qFormat/>
    <w:rsid w:val="004F194E"/>
    <w:pPr>
      <w:kinsoku w:val="0"/>
      <w:overflowPunct w:val="0"/>
      <w:autoSpaceDE w:val="0"/>
      <w:autoSpaceDN w:val="0"/>
      <w:adjustRightInd w:val="0"/>
    </w:pPr>
    <w:rPr>
      <w:rFonts w:eastAsiaTheme="minorEastAsia"/>
      <w:color w:val="000000" w:themeColor="text1"/>
      <w:szCs w:val="20"/>
      <w:lang w:val="en-US"/>
    </w:rPr>
  </w:style>
  <w:style w:type="character" w:customStyle="1" w:styleId="BodyTextChar">
    <w:name w:val="Body Text Char"/>
    <w:basedOn w:val="DefaultParagraphFont"/>
    <w:link w:val="BodyText"/>
    <w:uiPriority w:val="99"/>
    <w:rsid w:val="004F194E"/>
    <w:rPr>
      <w:rFonts w:ascii="Arial" w:eastAsiaTheme="minorEastAsia" w:hAnsi="Arial" w:cs="Arial"/>
      <w:sz w:val="18"/>
      <w:szCs w:val="18"/>
      <w:lang w:val="en-US" w:eastAsia="en-US"/>
    </w:rPr>
  </w:style>
  <w:style w:type="character" w:customStyle="1" w:styleId="Bold">
    <w:name w:val="Bold"/>
    <w:basedOn w:val="DefaultParagraphFont"/>
    <w:uiPriority w:val="1"/>
    <w:qFormat/>
    <w:rsid w:val="004F194E"/>
    <w:rPr>
      <w:rFonts w:ascii="Arial" w:hAnsi="Arial"/>
      <w:b/>
      <w:spacing w:val="-5"/>
      <w:sz w:val="20"/>
    </w:rPr>
  </w:style>
  <w:style w:type="paragraph" w:customStyle="1" w:styleId="BulletedList">
    <w:name w:val="Bulleted List"/>
    <w:basedOn w:val="Normal"/>
    <w:uiPriority w:val="1"/>
    <w:qFormat/>
    <w:rsid w:val="004F194E"/>
    <w:pPr>
      <w:numPr>
        <w:numId w:val="15"/>
      </w:numPr>
      <w:autoSpaceDE w:val="0"/>
      <w:autoSpaceDN w:val="0"/>
      <w:adjustRightInd w:val="0"/>
    </w:pPr>
    <w:rPr>
      <w:rFonts w:eastAsiaTheme="minorEastAsia"/>
      <w:color w:val="000000" w:themeColor="text1"/>
      <w:lang w:val="en-US"/>
    </w:rPr>
  </w:style>
  <w:style w:type="paragraph" w:customStyle="1" w:styleId="BulletedSublist">
    <w:name w:val="Bulleted Sublist"/>
    <w:basedOn w:val="BulletedList"/>
    <w:next w:val="Normal"/>
    <w:uiPriority w:val="1"/>
    <w:qFormat/>
    <w:rsid w:val="004F194E"/>
    <w:pPr>
      <w:numPr>
        <w:ilvl w:val="1"/>
      </w:numPr>
    </w:pPr>
  </w:style>
  <w:style w:type="paragraph" w:customStyle="1" w:styleId="Byline">
    <w:name w:val="Byline"/>
    <w:basedOn w:val="Normal"/>
    <w:next w:val="Normal"/>
    <w:uiPriority w:val="1"/>
    <w:qFormat/>
    <w:rsid w:val="004F194E"/>
    <w:pPr>
      <w:kinsoku w:val="0"/>
      <w:overflowPunct w:val="0"/>
      <w:autoSpaceDE w:val="0"/>
      <w:autoSpaceDN w:val="0"/>
      <w:adjustRightInd w:val="0"/>
    </w:pPr>
    <w:rPr>
      <w:rFonts w:eastAsiaTheme="minorEastAsia"/>
      <w:color w:val="000000" w:themeColor="text1"/>
      <w:sz w:val="24"/>
      <w:lang w:val="en-US"/>
    </w:rPr>
  </w:style>
  <w:style w:type="paragraph" w:customStyle="1" w:styleId="CroweBodyCopy">
    <w:name w:val="Crowe Body Copy"/>
    <w:basedOn w:val="Normal"/>
    <w:link w:val="CroweBodyCopyChar"/>
    <w:qFormat/>
    <w:rsid w:val="004F194E"/>
    <w:pPr>
      <w:autoSpaceDE w:val="0"/>
      <w:autoSpaceDN w:val="0"/>
      <w:adjustRightInd w:val="0"/>
    </w:pPr>
    <w:rPr>
      <w:lang w:val="en-US"/>
    </w:rPr>
  </w:style>
  <w:style w:type="character" w:customStyle="1" w:styleId="CroweBodyCopyChar">
    <w:name w:val="Crowe Body Copy Char"/>
    <w:basedOn w:val="DefaultParagraphFont"/>
    <w:link w:val="CroweBodyCopy"/>
    <w:locked/>
    <w:rsid w:val="004F194E"/>
    <w:rPr>
      <w:rFonts w:ascii="Arial" w:hAnsi="Arial"/>
      <w:szCs w:val="24"/>
      <w:lang w:val="en-US" w:eastAsia="en-US"/>
    </w:rPr>
  </w:style>
  <w:style w:type="paragraph" w:customStyle="1" w:styleId="Crowebullets">
    <w:name w:val="Crowe bullets"/>
    <w:basedOn w:val="BulletedList"/>
    <w:qFormat/>
    <w:rsid w:val="004F194E"/>
    <w:pPr>
      <w:spacing w:after="60"/>
    </w:pPr>
  </w:style>
  <w:style w:type="paragraph" w:customStyle="1" w:styleId="Crowebulletssubbullet">
    <w:name w:val="Crowe bullets sub bullet"/>
    <w:basedOn w:val="BulletedSublist"/>
    <w:qFormat/>
    <w:rsid w:val="004F194E"/>
    <w:pPr>
      <w:spacing w:after="60"/>
      <w:ind w:left="720"/>
    </w:pPr>
  </w:style>
  <w:style w:type="paragraph" w:customStyle="1" w:styleId="CroweCoverLetter">
    <w:name w:val="Crowe Cover Letter"/>
    <w:basedOn w:val="Normal"/>
    <w:link w:val="CroweCoverLetterChar"/>
    <w:qFormat/>
    <w:rsid w:val="004F194E"/>
    <w:pPr>
      <w:autoSpaceDE w:val="0"/>
      <w:autoSpaceDN w:val="0"/>
      <w:adjustRightInd w:val="0"/>
    </w:pPr>
    <w:rPr>
      <w:rFonts w:cs="Arial"/>
      <w:lang w:val="en-US"/>
    </w:rPr>
  </w:style>
  <w:style w:type="character" w:customStyle="1" w:styleId="CroweCoverLetterChar">
    <w:name w:val="Crowe Cover Letter Char"/>
    <w:basedOn w:val="DefaultParagraphFont"/>
    <w:link w:val="CroweCoverLetter"/>
    <w:locked/>
    <w:rsid w:val="004F194E"/>
    <w:rPr>
      <w:rFonts w:ascii="Arial" w:hAnsi="Arial" w:cs="Arial"/>
      <w:szCs w:val="24"/>
      <w:lang w:val="en-US" w:eastAsia="en-US"/>
    </w:rPr>
  </w:style>
  <w:style w:type="paragraph" w:customStyle="1" w:styleId="CroweHeading1">
    <w:name w:val="Crowe Heading 1"/>
    <w:basedOn w:val="Normal"/>
    <w:qFormat/>
    <w:rsid w:val="004F194E"/>
    <w:pPr>
      <w:kinsoku w:val="0"/>
      <w:overflowPunct w:val="0"/>
      <w:autoSpaceDE w:val="0"/>
      <w:autoSpaceDN w:val="0"/>
      <w:adjustRightInd w:val="0"/>
    </w:pPr>
    <w:rPr>
      <w:rFonts w:eastAsiaTheme="minorEastAsia"/>
      <w:color w:val="000000" w:themeColor="text1"/>
      <w:sz w:val="36"/>
      <w:szCs w:val="36"/>
      <w:lang w:val="en-US"/>
    </w:rPr>
  </w:style>
  <w:style w:type="paragraph" w:customStyle="1" w:styleId="CroweHeading2">
    <w:name w:val="Crowe Heading 2"/>
    <w:basedOn w:val="Normal"/>
    <w:next w:val="Normal"/>
    <w:qFormat/>
    <w:rsid w:val="004F194E"/>
    <w:pPr>
      <w:kinsoku w:val="0"/>
      <w:overflowPunct w:val="0"/>
      <w:autoSpaceDE w:val="0"/>
      <w:autoSpaceDN w:val="0"/>
      <w:adjustRightInd w:val="0"/>
      <w:spacing w:before="240"/>
    </w:pPr>
    <w:rPr>
      <w:rFonts w:eastAsiaTheme="minorEastAsia"/>
      <w:color w:val="000000" w:themeColor="text1"/>
      <w:sz w:val="28"/>
      <w:szCs w:val="28"/>
      <w:lang w:val="en-US"/>
    </w:rPr>
  </w:style>
  <w:style w:type="paragraph" w:customStyle="1" w:styleId="CroweHeading3">
    <w:name w:val="Crowe Heading 3"/>
    <w:basedOn w:val="Normal"/>
    <w:next w:val="Normal"/>
    <w:qFormat/>
    <w:rsid w:val="004F194E"/>
    <w:pPr>
      <w:kinsoku w:val="0"/>
      <w:overflowPunct w:val="0"/>
      <w:autoSpaceDE w:val="0"/>
      <w:autoSpaceDN w:val="0"/>
      <w:adjustRightInd w:val="0"/>
      <w:spacing w:before="240"/>
    </w:pPr>
    <w:rPr>
      <w:rFonts w:ascii="Arial Bold" w:eastAsiaTheme="minorEastAsia" w:hAnsi="Arial Bold" w:cs="Arial"/>
      <w:b/>
      <w:bCs/>
      <w:color w:val="000000" w:themeColor="text1"/>
      <w:lang w:val="en-US"/>
    </w:rPr>
  </w:style>
  <w:style w:type="paragraph" w:customStyle="1" w:styleId="CroweHeading4">
    <w:name w:val="Crowe Heading 4"/>
    <w:basedOn w:val="Normal"/>
    <w:next w:val="Normal"/>
    <w:qFormat/>
    <w:rsid w:val="004F194E"/>
    <w:pPr>
      <w:kinsoku w:val="0"/>
      <w:overflowPunct w:val="0"/>
      <w:autoSpaceDE w:val="0"/>
      <w:autoSpaceDN w:val="0"/>
      <w:adjustRightInd w:val="0"/>
      <w:spacing w:before="240"/>
    </w:pPr>
    <w:rPr>
      <w:rFonts w:eastAsiaTheme="minorEastAsia" w:cs="Arial"/>
      <w:color w:val="000000" w:themeColor="text1"/>
      <w:szCs w:val="20"/>
      <w:u w:val="single"/>
      <w:lang w:val="en-US"/>
    </w:rPr>
  </w:style>
  <w:style w:type="paragraph" w:customStyle="1" w:styleId="CroweResumeAddressN">
    <w:name w:val="Crowe Resume Address (N)"/>
    <w:link w:val="CroweResumeAddressNChar"/>
    <w:qFormat/>
    <w:rsid w:val="004F194E"/>
    <w:pPr>
      <w:tabs>
        <w:tab w:val="left" w:pos="302"/>
      </w:tabs>
    </w:pPr>
    <w:rPr>
      <w:rFonts w:ascii="Arial" w:eastAsia="Times" w:hAnsi="Arial"/>
      <w:sz w:val="17"/>
      <w:lang w:val="en-US" w:eastAsia="en-US"/>
    </w:rPr>
  </w:style>
  <w:style w:type="character" w:customStyle="1" w:styleId="CroweResumeAddressNChar">
    <w:name w:val="Crowe Resume Address (N) Char"/>
    <w:basedOn w:val="DefaultParagraphFont"/>
    <w:link w:val="CroweResumeAddressN"/>
    <w:rsid w:val="004F194E"/>
    <w:rPr>
      <w:rFonts w:ascii="Arial" w:eastAsia="Times" w:hAnsi="Arial"/>
      <w:sz w:val="17"/>
      <w:lang w:val="en-US" w:eastAsia="en-US"/>
    </w:rPr>
  </w:style>
  <w:style w:type="paragraph" w:customStyle="1" w:styleId="CroweResumeBodyN">
    <w:name w:val="Crowe Resume Body (N)"/>
    <w:link w:val="CroweResumeBodyNChar"/>
    <w:qFormat/>
    <w:rsid w:val="004F194E"/>
    <w:pPr>
      <w:spacing w:after="60" w:line="259" w:lineRule="auto"/>
    </w:pPr>
    <w:rPr>
      <w:rFonts w:ascii="Arial" w:hAnsi="Arial"/>
      <w:noProof/>
      <w:lang w:val="en-US" w:eastAsia="en-US"/>
    </w:rPr>
  </w:style>
  <w:style w:type="character" w:customStyle="1" w:styleId="CroweResumeBodyNChar">
    <w:name w:val="Crowe Resume Body (N) Char"/>
    <w:basedOn w:val="DefaultParagraphFont"/>
    <w:link w:val="CroweResumeBodyN"/>
    <w:rsid w:val="004F194E"/>
    <w:rPr>
      <w:rFonts w:ascii="Arial" w:hAnsi="Arial"/>
      <w:noProof/>
      <w:lang w:val="en-US" w:eastAsia="en-US"/>
    </w:rPr>
  </w:style>
  <w:style w:type="paragraph" w:customStyle="1" w:styleId="CroweResumeBulletLeftN">
    <w:name w:val="Crowe Resume Bullet Left (N)"/>
    <w:link w:val="CroweResumeBulletLeftNChar"/>
    <w:qFormat/>
    <w:rsid w:val="004F194E"/>
    <w:pPr>
      <w:numPr>
        <w:numId w:val="16"/>
      </w:numPr>
    </w:pPr>
    <w:rPr>
      <w:rFonts w:ascii="Arial" w:eastAsia="Times" w:hAnsi="Arial" w:cs="Arial"/>
      <w:lang w:val="en-US" w:eastAsia="en-US"/>
    </w:rPr>
  </w:style>
  <w:style w:type="character" w:customStyle="1" w:styleId="CroweResumeBulletLeftNChar">
    <w:name w:val="Crowe Resume Bullet Left (N) Char"/>
    <w:basedOn w:val="DefaultParagraphFont"/>
    <w:link w:val="CroweResumeBulletLeftN"/>
    <w:rsid w:val="004F194E"/>
    <w:rPr>
      <w:rFonts w:ascii="Arial" w:eastAsia="Times" w:hAnsi="Arial" w:cs="Arial"/>
      <w:lang w:val="en-US" w:eastAsia="en-US"/>
    </w:rPr>
  </w:style>
  <w:style w:type="paragraph" w:customStyle="1" w:styleId="CroweResumeBulletLeft2N">
    <w:name w:val="Crowe Resume Bullet Left 2 (N)"/>
    <w:next w:val="CroweResumeBulletLeftN"/>
    <w:link w:val="CroweResumeBulletLeft2NChar"/>
    <w:qFormat/>
    <w:rsid w:val="004F194E"/>
    <w:pPr>
      <w:numPr>
        <w:numId w:val="17"/>
      </w:numPr>
      <w:spacing w:after="160" w:line="259" w:lineRule="auto"/>
    </w:pPr>
    <w:rPr>
      <w:rFonts w:ascii="Arial" w:eastAsia="Times" w:hAnsi="Arial" w:cs="Arial"/>
      <w:lang w:val="en-US" w:eastAsia="en-US"/>
    </w:rPr>
  </w:style>
  <w:style w:type="character" w:customStyle="1" w:styleId="CroweResumeBulletLeft2NChar">
    <w:name w:val="Crowe Resume Bullet Left 2 (N) Char"/>
    <w:basedOn w:val="DefaultParagraphFont"/>
    <w:link w:val="CroweResumeBulletLeft2N"/>
    <w:rsid w:val="004F194E"/>
    <w:rPr>
      <w:rFonts w:ascii="Arial" w:eastAsia="Times" w:hAnsi="Arial" w:cs="Arial"/>
      <w:lang w:val="en-US" w:eastAsia="en-US"/>
    </w:rPr>
  </w:style>
  <w:style w:type="paragraph" w:customStyle="1" w:styleId="CroweResumeBulletRightN">
    <w:name w:val="Crowe Resume Bullet Right (N)"/>
    <w:link w:val="CroweResumeBulletRightNChar"/>
    <w:qFormat/>
    <w:rsid w:val="004F194E"/>
    <w:pPr>
      <w:numPr>
        <w:numId w:val="18"/>
      </w:numPr>
      <w:spacing w:after="20"/>
    </w:pPr>
    <w:rPr>
      <w:rFonts w:ascii="Arial" w:eastAsia="Times" w:hAnsi="Arial"/>
      <w:sz w:val="16"/>
      <w:lang w:val="en-US" w:eastAsia="en-US"/>
    </w:rPr>
  </w:style>
  <w:style w:type="character" w:customStyle="1" w:styleId="CroweResumeBulletRightNChar">
    <w:name w:val="Crowe Resume Bullet Right (N) Char"/>
    <w:basedOn w:val="DefaultParagraphFont"/>
    <w:link w:val="CroweResumeBulletRightN"/>
    <w:rsid w:val="004F194E"/>
    <w:rPr>
      <w:rFonts w:ascii="Arial" w:eastAsia="Times" w:hAnsi="Arial"/>
      <w:sz w:val="16"/>
      <w:lang w:val="en-US" w:eastAsia="en-US"/>
    </w:rPr>
  </w:style>
  <w:style w:type="paragraph" w:customStyle="1" w:styleId="CroweResumeBulletRight2N">
    <w:name w:val="Crowe Resume Bullet Right 2 (N)"/>
    <w:link w:val="CroweResumeBulletRight2NChar"/>
    <w:qFormat/>
    <w:rsid w:val="004F194E"/>
    <w:pPr>
      <w:numPr>
        <w:numId w:val="19"/>
      </w:numPr>
      <w:spacing w:after="160" w:line="259" w:lineRule="auto"/>
    </w:pPr>
    <w:rPr>
      <w:rFonts w:ascii="Arial" w:eastAsia="Times" w:hAnsi="Arial"/>
      <w:sz w:val="16"/>
      <w:lang w:val="en-US" w:eastAsia="en-US"/>
    </w:rPr>
  </w:style>
  <w:style w:type="character" w:customStyle="1" w:styleId="CroweResumeBulletRight2NChar">
    <w:name w:val="Crowe Resume Bullet Right 2 (N) Char"/>
    <w:basedOn w:val="DefaultParagraphFont"/>
    <w:link w:val="CroweResumeBulletRight2N"/>
    <w:rsid w:val="004F194E"/>
    <w:rPr>
      <w:rFonts w:ascii="Arial" w:eastAsia="Times" w:hAnsi="Arial"/>
      <w:sz w:val="16"/>
      <w:lang w:val="en-US" w:eastAsia="en-US"/>
    </w:rPr>
  </w:style>
  <w:style w:type="paragraph" w:customStyle="1" w:styleId="CroweResumeClientList1N">
    <w:name w:val="Crowe Resume Client List 1 (N)"/>
    <w:link w:val="CroweResumeClientList1NChar"/>
    <w:qFormat/>
    <w:rsid w:val="004F194E"/>
    <w:pPr>
      <w:spacing w:after="20"/>
    </w:pPr>
    <w:rPr>
      <w:rFonts w:ascii="Arial" w:eastAsia="Times" w:hAnsi="Arial"/>
      <w:b/>
      <w:szCs w:val="18"/>
      <w:lang w:val="en-US" w:eastAsia="en-US"/>
    </w:rPr>
  </w:style>
  <w:style w:type="character" w:customStyle="1" w:styleId="CroweResumeClientList1NChar">
    <w:name w:val="Crowe Resume Client List 1 (N) Char"/>
    <w:basedOn w:val="DefaultParagraphFont"/>
    <w:link w:val="CroweResumeClientList1N"/>
    <w:rsid w:val="004F194E"/>
    <w:rPr>
      <w:rFonts w:ascii="Arial" w:eastAsia="Times" w:hAnsi="Arial"/>
      <w:b/>
      <w:szCs w:val="18"/>
      <w:lang w:val="en-US" w:eastAsia="en-US"/>
    </w:rPr>
  </w:style>
  <w:style w:type="paragraph" w:customStyle="1" w:styleId="CroweResumeClientListDescriptionN">
    <w:name w:val="Crowe Resume Client List Description (N)"/>
    <w:basedOn w:val="CroweResumeClientList1N"/>
    <w:link w:val="CroweResumeClientListDescriptionNChar"/>
    <w:qFormat/>
    <w:rsid w:val="004F194E"/>
    <w:pPr>
      <w:spacing w:after="120"/>
      <w:contextualSpacing/>
    </w:pPr>
    <w:rPr>
      <w:b w:val="0"/>
    </w:rPr>
  </w:style>
  <w:style w:type="character" w:customStyle="1" w:styleId="CroweResumeClientListDescriptionNChar">
    <w:name w:val="Crowe Resume Client List Description (N) Char"/>
    <w:basedOn w:val="CroweResumeClientList1NChar"/>
    <w:link w:val="CroweResumeClientListDescriptionN"/>
    <w:rsid w:val="004F194E"/>
    <w:rPr>
      <w:rFonts w:ascii="Arial" w:eastAsia="Times" w:hAnsi="Arial"/>
      <w:b w:val="0"/>
      <w:szCs w:val="18"/>
      <w:lang w:val="en-US" w:eastAsia="en-US"/>
    </w:rPr>
  </w:style>
  <w:style w:type="paragraph" w:customStyle="1" w:styleId="CroweResumeClientListRoleDateN">
    <w:name w:val="Crowe Resume Client List Role/Date (N)"/>
    <w:link w:val="CroweResumeClientListRoleDateNChar"/>
    <w:rsid w:val="004F194E"/>
    <w:rPr>
      <w:rFonts w:ascii="Arial" w:eastAsia="Times" w:hAnsi="Arial"/>
      <w:i/>
      <w:sz w:val="18"/>
      <w:szCs w:val="18"/>
      <w:lang w:val="en-US" w:eastAsia="en-US"/>
    </w:rPr>
  </w:style>
  <w:style w:type="character" w:customStyle="1" w:styleId="CroweResumeClientListRoleDateNChar">
    <w:name w:val="Crowe Resume Client List Role/Date (N) Char"/>
    <w:basedOn w:val="DefaultParagraphFont"/>
    <w:link w:val="CroweResumeClientListRoleDateN"/>
    <w:rsid w:val="004F194E"/>
    <w:rPr>
      <w:rFonts w:ascii="Arial" w:eastAsia="Times" w:hAnsi="Arial"/>
      <w:i/>
      <w:sz w:val="18"/>
      <w:szCs w:val="18"/>
      <w:lang w:val="en-US" w:eastAsia="en-US"/>
    </w:rPr>
  </w:style>
  <w:style w:type="paragraph" w:customStyle="1" w:styleId="CroweResumeHeading1N">
    <w:name w:val="Crowe Resume Heading 1 (N)"/>
    <w:next w:val="CroweResumeBodyN"/>
    <w:link w:val="CroweResumeHeading1NChar"/>
    <w:qFormat/>
    <w:rsid w:val="004F194E"/>
    <w:pPr>
      <w:spacing w:before="200" w:after="60"/>
    </w:pPr>
    <w:rPr>
      <w:rFonts w:ascii="Arial" w:eastAsia="Times" w:hAnsi="Arial"/>
      <w:sz w:val="24"/>
      <w:lang w:val="en-US" w:eastAsia="en-US"/>
    </w:rPr>
  </w:style>
  <w:style w:type="character" w:customStyle="1" w:styleId="CroweResumeHeading1NChar">
    <w:name w:val="Crowe Resume Heading 1 (N) Char"/>
    <w:basedOn w:val="DefaultParagraphFont"/>
    <w:link w:val="CroweResumeHeading1N"/>
    <w:rsid w:val="004F194E"/>
    <w:rPr>
      <w:rFonts w:ascii="Arial" w:eastAsia="Times" w:hAnsi="Arial"/>
      <w:sz w:val="24"/>
      <w:lang w:val="en-US" w:eastAsia="en-US"/>
    </w:rPr>
  </w:style>
  <w:style w:type="paragraph" w:customStyle="1" w:styleId="CroweResumeHeading2">
    <w:name w:val="Crowe Resume Heading 2"/>
    <w:basedOn w:val="Crowebullets"/>
    <w:link w:val="CroweResumeHeading2Char"/>
    <w:qFormat/>
    <w:rsid w:val="004F194E"/>
    <w:pPr>
      <w:widowControl/>
      <w:numPr>
        <w:numId w:val="0"/>
      </w:numPr>
      <w:tabs>
        <w:tab w:val="left" w:pos="1080"/>
      </w:tabs>
      <w:autoSpaceDE/>
      <w:autoSpaceDN/>
      <w:adjustRightInd/>
      <w:spacing w:after="120"/>
    </w:pPr>
    <w:rPr>
      <w:rFonts w:eastAsia="Times" w:cs="Arial"/>
      <w:b/>
      <w:bCs/>
      <w:color w:val="auto"/>
      <w:szCs w:val="20"/>
    </w:rPr>
  </w:style>
  <w:style w:type="character" w:customStyle="1" w:styleId="CroweResumeHeading2Char">
    <w:name w:val="Crowe Resume Heading 2 Char"/>
    <w:basedOn w:val="DefaultParagraphFont"/>
    <w:link w:val="CroweResumeHeading2"/>
    <w:rsid w:val="004F194E"/>
    <w:rPr>
      <w:rFonts w:ascii="Arial" w:eastAsia="Times" w:hAnsi="Arial" w:cs="Arial"/>
      <w:b/>
      <w:bCs/>
      <w:lang w:val="en-US" w:eastAsia="en-US"/>
    </w:rPr>
  </w:style>
  <w:style w:type="paragraph" w:customStyle="1" w:styleId="CroweResumeHeading2N">
    <w:name w:val="Crowe Resume Heading 2 (N)"/>
    <w:link w:val="CroweResumeHeading2NChar"/>
    <w:qFormat/>
    <w:rsid w:val="004F194E"/>
    <w:pPr>
      <w:spacing w:before="200" w:after="60"/>
    </w:pPr>
    <w:rPr>
      <w:rFonts w:ascii="Arial" w:eastAsia="Times" w:hAnsi="Arial"/>
      <w:lang w:val="en-US" w:eastAsia="en-US"/>
    </w:rPr>
  </w:style>
  <w:style w:type="character" w:customStyle="1" w:styleId="CroweResumeHeading2NChar">
    <w:name w:val="Crowe Resume Heading 2 (N) Char"/>
    <w:basedOn w:val="DefaultParagraphFont"/>
    <w:link w:val="CroweResumeHeading2N"/>
    <w:rsid w:val="004F194E"/>
    <w:rPr>
      <w:rFonts w:ascii="Arial" w:eastAsia="Times" w:hAnsi="Arial"/>
      <w:lang w:val="en-US" w:eastAsia="en-US"/>
    </w:rPr>
  </w:style>
  <w:style w:type="paragraph" w:customStyle="1" w:styleId="CroweResumeHeading3N">
    <w:name w:val="Crowe Resume Heading 3 (N)"/>
    <w:basedOn w:val="CroweResumeHeading2N"/>
    <w:link w:val="CroweResumeHeading3NChar"/>
    <w:qFormat/>
    <w:rsid w:val="004F194E"/>
    <w:pPr>
      <w:spacing w:before="120"/>
    </w:pPr>
    <w:rPr>
      <w:b/>
      <w:sz w:val="16"/>
    </w:rPr>
  </w:style>
  <w:style w:type="character" w:customStyle="1" w:styleId="CroweResumeHeading3NChar">
    <w:name w:val="Crowe Resume Heading 3 (N) Char"/>
    <w:basedOn w:val="CroweResumeHeading2NChar"/>
    <w:link w:val="CroweResumeHeading3N"/>
    <w:rsid w:val="004F194E"/>
    <w:rPr>
      <w:rFonts w:ascii="Arial" w:eastAsia="Times" w:hAnsi="Arial"/>
      <w:b/>
      <w:sz w:val="16"/>
      <w:lang w:val="en-US" w:eastAsia="en-US"/>
    </w:rPr>
  </w:style>
  <w:style w:type="paragraph" w:customStyle="1" w:styleId="CroweResumeNameN">
    <w:name w:val="Crowe Resume Name (N)"/>
    <w:next w:val="Normal"/>
    <w:link w:val="CroweResumeNameNChar"/>
    <w:qFormat/>
    <w:rsid w:val="004F194E"/>
    <w:rPr>
      <w:rFonts w:ascii="Arial" w:eastAsia="Times" w:hAnsi="Arial"/>
      <w:b/>
      <w:color w:val="76787A"/>
      <w:sz w:val="24"/>
      <w:szCs w:val="24"/>
      <w:lang w:val="en-US" w:eastAsia="en-US"/>
    </w:rPr>
  </w:style>
  <w:style w:type="character" w:customStyle="1" w:styleId="CroweResumeNameNChar">
    <w:name w:val="Crowe Resume Name (N) Char"/>
    <w:basedOn w:val="DefaultParagraphFont"/>
    <w:link w:val="CroweResumeNameN"/>
    <w:rsid w:val="004F194E"/>
    <w:rPr>
      <w:rFonts w:ascii="Arial" w:eastAsia="Times" w:hAnsi="Arial"/>
      <w:b/>
      <w:color w:val="76787A"/>
      <w:sz w:val="24"/>
      <w:szCs w:val="24"/>
      <w:lang w:val="en-US" w:eastAsia="en-US"/>
    </w:rPr>
  </w:style>
  <w:style w:type="paragraph" w:customStyle="1" w:styleId="CroweResumeTitleN">
    <w:name w:val="Crowe Resume Title (N)"/>
    <w:link w:val="CroweResumeTitleNChar"/>
    <w:qFormat/>
    <w:rsid w:val="004F194E"/>
    <w:rPr>
      <w:rFonts w:ascii="Arial" w:eastAsia="Times" w:hAnsi="Arial"/>
      <w:color w:val="76787A"/>
      <w:lang w:val="en-US" w:eastAsia="en-US"/>
    </w:rPr>
  </w:style>
  <w:style w:type="character" w:customStyle="1" w:styleId="CroweResumeTitleNChar">
    <w:name w:val="Crowe Resume Title (N) Char"/>
    <w:basedOn w:val="DefaultParagraphFont"/>
    <w:link w:val="CroweResumeTitleN"/>
    <w:rsid w:val="004F194E"/>
    <w:rPr>
      <w:rFonts w:ascii="Arial" w:eastAsia="Times" w:hAnsi="Arial"/>
      <w:color w:val="76787A"/>
      <w:lang w:val="en-US" w:eastAsia="en-US"/>
    </w:rPr>
  </w:style>
  <w:style w:type="table" w:customStyle="1" w:styleId="CroweTable1">
    <w:name w:val="Crowe Table 1"/>
    <w:basedOn w:val="TableNormal"/>
    <w:uiPriority w:val="99"/>
    <w:rsid w:val="004F194E"/>
    <w:rPr>
      <w:rFonts w:ascii="Arial" w:eastAsia="Times" w:hAnsi="Arial"/>
      <w:color w:val="000000" w:themeColor="text1"/>
      <w:sz w:val="18"/>
      <w:lang w:val="en-US" w:eastAsia="en-US"/>
    </w:rPr>
    <w:tblPr>
      <w:tblStyleRowBandSize w:val="1"/>
      <w:tblStyleColBandSize w:val="1"/>
      <w:tblBorders>
        <w:insideV w:val="outset" w:sz="8" w:space="0" w:color="DDD9C3" w:themeColor="background2" w:themeShade="E6"/>
      </w:tblBorders>
      <w:tblCellMar>
        <w:top w:w="14" w:type="dxa"/>
        <w:left w:w="115" w:type="dxa"/>
        <w:bottom w:w="14" w:type="dxa"/>
        <w:right w:w="115" w:type="dxa"/>
      </w:tblCellMar>
    </w:tblPr>
    <w:tcPr>
      <w:vAlign w:val="center"/>
    </w:tcPr>
    <w:tblStylePr w:type="firstRow">
      <w:pPr>
        <w:wordWrap/>
        <w:jc w:val="center"/>
      </w:pPr>
      <w:rPr>
        <w:rFonts w:ascii="Arial" w:hAnsi="Arial"/>
        <w:color w:val="000000" w:themeColor="text1"/>
        <w:sz w:val="18"/>
      </w:rPr>
      <w:tblPr/>
      <w:tcPr>
        <w:tcBorders>
          <w:top w:val="nil"/>
          <w:left w:val="nil"/>
          <w:bottom w:val="single" w:sz="12" w:space="0" w:color="DDD9C3" w:themeColor="background2" w:themeShade="E6"/>
          <w:right w:val="nil"/>
          <w:insideH w:val="nil"/>
          <w:insideV w:val="single" w:sz="8" w:space="0" w:color="FFFFFF" w:themeColor="background1"/>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table" w:customStyle="1" w:styleId="CroweTable2">
    <w:name w:val="Crowe Table 2"/>
    <w:basedOn w:val="TableNormal"/>
    <w:uiPriority w:val="99"/>
    <w:rsid w:val="004F194E"/>
    <w:rPr>
      <w:rFonts w:ascii="Arial" w:eastAsia="Times" w:hAnsi="Arial"/>
      <w:sz w:val="18"/>
      <w:lang w:val="en-US" w:eastAsia="en-US"/>
    </w:rPr>
    <w:tblPr>
      <w:tblStyleRowBandSize w:val="1"/>
      <w:tblBorders>
        <w:insideV w:val="single" w:sz="8" w:space="0" w:color="DDD9C3" w:themeColor="background2" w:themeShade="E6"/>
      </w:tblBorders>
    </w:tblPr>
    <w:tcPr>
      <w:vAlign w:val="center"/>
    </w:tcPr>
    <w:tblStylePr w:type="firstRow">
      <w:pPr>
        <w:jc w:val="center"/>
      </w:pPr>
      <w:rPr>
        <w:rFonts w:ascii="Arial" w:hAnsi="Arial"/>
        <w:color w:val="FFFFFF" w:themeColor="background1"/>
        <w:sz w:val="18"/>
      </w:rPr>
      <w:tblPr/>
      <w:tcPr>
        <w:tcBorders>
          <w:top w:val="nil"/>
          <w:left w:val="nil"/>
          <w:bottom w:val="single" w:sz="12" w:space="0" w:color="C0504D" w:themeColor="accent2"/>
          <w:right w:val="nil"/>
          <w:insideH w:val="nil"/>
          <w:insideV w:val="single" w:sz="8" w:space="0" w:color="FFFFFF" w:themeColor="background1"/>
          <w:tl2br w:val="nil"/>
          <w:tr2bl w:val="nil"/>
        </w:tcBorders>
        <w:shd w:val="clear" w:color="auto" w:fill="C4BC96" w:themeFill="background2" w:themeFillShade="BF"/>
      </w:tcPr>
    </w:tblStylePr>
    <w:tblStylePr w:type="band2Horz">
      <w:rPr>
        <w:rFonts w:ascii="Arial" w:hAnsi="Arial"/>
      </w:rPr>
      <w:tblPr/>
      <w:tcPr>
        <w:shd w:val="clear" w:color="auto" w:fill="D9D9D9" w:themeFill="background1" w:themeFillShade="D9"/>
      </w:tcPr>
    </w:tblStylePr>
  </w:style>
  <w:style w:type="table" w:customStyle="1" w:styleId="CroweTable3">
    <w:name w:val="Crowe Table 3"/>
    <w:basedOn w:val="CroweTable1"/>
    <w:uiPriority w:val="99"/>
    <w:rsid w:val="004F194E"/>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wordWrap/>
        <w:jc w:val="center"/>
      </w:pPr>
      <w:rPr>
        <w:rFonts w:ascii="Arial" w:hAnsi="Arial"/>
        <w:color w:val="000000" w:themeColor="text1"/>
        <w:sz w:val="18"/>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paragraph" w:customStyle="1" w:styleId="CroweTableCopy">
    <w:name w:val="Crowe Table Copy"/>
    <w:basedOn w:val="CroweBodyCopy"/>
    <w:link w:val="CroweTableCopyChar"/>
    <w:rsid w:val="004F194E"/>
    <w:pPr>
      <w:spacing w:before="40" w:after="40"/>
    </w:pPr>
  </w:style>
  <w:style w:type="character" w:customStyle="1" w:styleId="CroweTableCopyChar">
    <w:name w:val="Crowe Table Copy Char"/>
    <w:basedOn w:val="CroweBodyCopyChar"/>
    <w:link w:val="CroweTableCopy"/>
    <w:locked/>
    <w:rsid w:val="004F194E"/>
    <w:rPr>
      <w:rFonts w:ascii="Arial" w:hAnsi="Arial"/>
      <w:szCs w:val="24"/>
      <w:lang w:val="en-US" w:eastAsia="en-US"/>
    </w:rPr>
  </w:style>
  <w:style w:type="paragraph" w:customStyle="1" w:styleId="CroweTableHeader2">
    <w:name w:val="Crowe Table Header 2"/>
    <w:basedOn w:val="Normal"/>
    <w:qFormat/>
    <w:rsid w:val="004F194E"/>
    <w:pPr>
      <w:autoSpaceDE w:val="0"/>
      <w:autoSpaceDN w:val="0"/>
      <w:adjustRightInd w:val="0"/>
      <w:spacing w:before="40" w:after="40"/>
    </w:pPr>
    <w:rPr>
      <w:rFonts w:eastAsiaTheme="minorEastAsia"/>
      <w:b/>
      <w:color w:val="FFFFFF"/>
      <w:sz w:val="18"/>
      <w:lang w:val="en-US"/>
    </w:rPr>
  </w:style>
  <w:style w:type="paragraph" w:customStyle="1" w:styleId="CroweTableHeaderColumnTitle">
    <w:name w:val="Crowe Table Header/Column Title"/>
    <w:basedOn w:val="Normal"/>
    <w:qFormat/>
    <w:rsid w:val="004F194E"/>
    <w:pPr>
      <w:autoSpaceDE w:val="0"/>
      <w:autoSpaceDN w:val="0"/>
      <w:adjustRightInd w:val="0"/>
      <w:spacing w:before="40" w:after="40"/>
      <w:jc w:val="center"/>
    </w:pPr>
    <w:rPr>
      <w:rFonts w:eastAsiaTheme="minorEastAsia" w:cs="Arial"/>
      <w:color w:val="FFFFFF" w:themeColor="background1"/>
      <w:lang w:val="en-US"/>
    </w:rPr>
  </w:style>
  <w:style w:type="paragraph" w:customStyle="1" w:styleId="CroweTableofContents">
    <w:name w:val="Crowe Table of Contents"/>
    <w:basedOn w:val="Normal"/>
    <w:qFormat/>
    <w:rsid w:val="004F194E"/>
    <w:pPr>
      <w:autoSpaceDE w:val="0"/>
      <w:autoSpaceDN w:val="0"/>
      <w:adjustRightInd w:val="0"/>
    </w:pPr>
    <w:rPr>
      <w:color w:val="000000" w:themeColor="text1"/>
      <w:sz w:val="36"/>
      <w:lang w:val="en-US"/>
    </w:rPr>
  </w:style>
  <w:style w:type="paragraph" w:customStyle="1" w:styleId="CroweTitlePage-Addressee">
    <w:name w:val="Crowe Title Page - Addressee"/>
    <w:basedOn w:val="Normal"/>
    <w:rsid w:val="004F194E"/>
    <w:pPr>
      <w:autoSpaceDE w:val="0"/>
      <w:autoSpaceDN w:val="0"/>
      <w:adjustRightInd w:val="0"/>
    </w:pPr>
    <w:rPr>
      <w:bCs/>
      <w:lang w:val="en-US"/>
    </w:rPr>
  </w:style>
  <w:style w:type="paragraph" w:customStyle="1" w:styleId="CroweTitlePage-ProposaltoProvide">
    <w:name w:val="Crowe Title Page - Proposal to Provide"/>
    <w:basedOn w:val="Title"/>
    <w:rsid w:val="004F194E"/>
    <w:pPr>
      <w:autoSpaceDE w:val="0"/>
      <w:autoSpaceDN w:val="0"/>
      <w:adjustRightInd w:val="0"/>
      <w:contextualSpacing w:val="0"/>
      <w:outlineLvl w:val="0"/>
    </w:pPr>
    <w:rPr>
      <w:rFonts w:ascii="Arial" w:hAnsi="Arial"/>
      <w:bCs/>
      <w:color w:val="000000"/>
      <w:spacing w:val="0"/>
      <w:sz w:val="52"/>
      <w:szCs w:val="32"/>
      <w:lang w:val="en-US"/>
    </w:rPr>
  </w:style>
  <w:style w:type="paragraph" w:styleId="Title">
    <w:name w:val="Title"/>
    <w:basedOn w:val="Normal"/>
    <w:next w:val="Normal"/>
    <w:link w:val="TitleChar"/>
    <w:qFormat/>
    <w:rsid w:val="004F19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94E"/>
    <w:rPr>
      <w:rFonts w:asciiTheme="majorHAnsi" w:eastAsiaTheme="majorEastAsia" w:hAnsiTheme="majorHAnsi" w:cstheme="majorBidi"/>
      <w:spacing w:val="-10"/>
      <w:kern w:val="28"/>
      <w:sz w:val="56"/>
      <w:szCs w:val="56"/>
      <w:lang w:eastAsia="en-US"/>
    </w:rPr>
  </w:style>
  <w:style w:type="paragraph" w:customStyle="1" w:styleId="CroweTitlePage-Date">
    <w:name w:val="Crowe Title Page - Date"/>
    <w:basedOn w:val="CroweTitlePage-ProposaltoProvide"/>
    <w:rsid w:val="004F194E"/>
    <w:rPr>
      <w:rFonts w:cs="Arial"/>
      <w:color w:val="auto"/>
      <w:sz w:val="40"/>
      <w:szCs w:val="40"/>
    </w:rPr>
  </w:style>
  <w:style w:type="paragraph" w:customStyle="1" w:styleId="CroweTitlePage-RFPNumber">
    <w:name w:val="Crowe Title Page - RFP Number"/>
    <w:basedOn w:val="CroweTitlePage-ProposaltoProvide"/>
    <w:rsid w:val="004F194E"/>
    <w:rPr>
      <w:rFonts w:cs="Arial"/>
      <w:color w:val="auto"/>
      <w:sz w:val="24"/>
      <w:szCs w:val="24"/>
    </w:rPr>
  </w:style>
  <w:style w:type="paragraph" w:customStyle="1" w:styleId="CroweTitlePage-Submittedtoby">
    <w:name w:val="Crowe Title Page - Submitted to/by"/>
    <w:basedOn w:val="Normal"/>
    <w:rsid w:val="004F194E"/>
    <w:pPr>
      <w:autoSpaceDE w:val="0"/>
      <w:autoSpaceDN w:val="0"/>
      <w:adjustRightInd w:val="0"/>
    </w:pPr>
    <w:rPr>
      <w:b/>
      <w:bCs/>
      <w:color w:val="000000" w:themeColor="text1"/>
      <w:lang w:val="en-US"/>
    </w:rPr>
  </w:style>
  <w:style w:type="paragraph" w:customStyle="1" w:styleId="CroweTitlePage-TitleofProposal">
    <w:name w:val="Crowe Title Page - Title of Proposal"/>
    <w:basedOn w:val="Title"/>
    <w:link w:val="CroweTitlePage-TitleofProposalChar"/>
    <w:rsid w:val="004F194E"/>
    <w:pPr>
      <w:autoSpaceDE w:val="0"/>
      <w:autoSpaceDN w:val="0"/>
      <w:adjustRightInd w:val="0"/>
      <w:contextualSpacing w:val="0"/>
      <w:outlineLvl w:val="0"/>
    </w:pPr>
    <w:rPr>
      <w:rFonts w:ascii="Arial" w:hAnsi="Arial"/>
      <w:bCs/>
      <w:color w:val="000000"/>
      <w:spacing w:val="0"/>
      <w:sz w:val="52"/>
      <w:szCs w:val="32"/>
      <w:lang w:val="en-US"/>
    </w:rPr>
  </w:style>
  <w:style w:type="character" w:customStyle="1" w:styleId="CroweTitlePage-TitleofProposalChar">
    <w:name w:val="Crowe Title Page - Title of Proposal Char"/>
    <w:basedOn w:val="DefaultParagraphFont"/>
    <w:link w:val="CroweTitlePage-TitleofProposal"/>
    <w:rsid w:val="004F194E"/>
    <w:rPr>
      <w:rFonts w:ascii="Arial" w:eastAsiaTheme="majorEastAsia" w:hAnsi="Arial" w:cstheme="majorBidi"/>
      <w:bCs/>
      <w:color w:val="000000"/>
      <w:kern w:val="28"/>
      <w:sz w:val="52"/>
      <w:szCs w:val="32"/>
      <w:lang w:val="en-US" w:eastAsia="en-US"/>
    </w:rPr>
  </w:style>
  <w:style w:type="paragraph" w:customStyle="1" w:styleId="Disclaimer">
    <w:name w:val="Disclaimer"/>
    <w:basedOn w:val="BodyText"/>
    <w:next w:val="Normal"/>
    <w:uiPriority w:val="99"/>
    <w:qFormat/>
    <w:rsid w:val="004F194E"/>
    <w:pPr>
      <w:kinsoku w:val="0"/>
      <w:overflowPunct w:val="0"/>
      <w:spacing w:before="0"/>
      <w:ind w:left="0" w:firstLine="0"/>
    </w:pPr>
    <w:rPr>
      <w:color w:val="0D0D0D" w:themeColor="text1" w:themeTint="F2"/>
      <w:sz w:val="12"/>
      <w:szCs w:val="12"/>
    </w:rPr>
  </w:style>
  <w:style w:type="paragraph" w:customStyle="1" w:styleId="EyebrowMonth">
    <w:name w:val="Eyebrow/Month"/>
    <w:basedOn w:val="Normal"/>
    <w:next w:val="Normal"/>
    <w:uiPriority w:val="1"/>
    <w:qFormat/>
    <w:rsid w:val="004F194E"/>
    <w:pPr>
      <w:kinsoku w:val="0"/>
      <w:overflowPunct w:val="0"/>
      <w:autoSpaceDE w:val="0"/>
      <w:autoSpaceDN w:val="0"/>
      <w:adjustRightInd w:val="0"/>
    </w:pPr>
    <w:rPr>
      <w:rFonts w:eastAsiaTheme="minorEastAsia"/>
      <w:color w:val="000000" w:themeColor="text1"/>
      <w:sz w:val="32"/>
      <w:szCs w:val="32"/>
      <w:lang w:val="en-US"/>
    </w:rPr>
  </w:style>
  <w:style w:type="character" w:styleId="FollowedHyperlink">
    <w:name w:val="FollowedHyperlink"/>
    <w:basedOn w:val="DefaultParagraphFont"/>
    <w:semiHidden/>
    <w:unhideWhenUsed/>
    <w:rsid w:val="004F194E"/>
    <w:rPr>
      <w:color w:val="800080" w:themeColor="followedHyperlink"/>
      <w:u w:val="single"/>
    </w:rPr>
  </w:style>
  <w:style w:type="character" w:customStyle="1" w:styleId="Heading2Char">
    <w:name w:val="Heading 2 Char"/>
    <w:basedOn w:val="DefaultParagraphFont"/>
    <w:link w:val="Heading2"/>
    <w:rsid w:val="00230970"/>
    <w:rPr>
      <w:rFonts w:ascii="Arial" w:hAnsi="Arial"/>
      <w:b/>
      <w:sz w:val="24"/>
      <w:lang w:eastAsia="en-US"/>
    </w:rPr>
  </w:style>
  <w:style w:type="character" w:customStyle="1" w:styleId="HeaderChar">
    <w:name w:val="Header Char"/>
    <w:aliases w:val="odd Char,header(G-I) Char,8font Char"/>
    <w:basedOn w:val="DefaultParagraphFont"/>
    <w:link w:val="Header"/>
    <w:uiPriority w:val="99"/>
    <w:rsid w:val="00230970"/>
    <w:rPr>
      <w:rFonts w:ascii="Arial" w:hAnsi="Arial"/>
      <w:lang w:eastAsia="en-US"/>
    </w:rPr>
  </w:style>
  <w:style w:type="paragraph" w:styleId="Footer">
    <w:name w:val="footer"/>
    <w:basedOn w:val="Normal"/>
    <w:link w:val="FooterChar"/>
    <w:uiPriority w:val="99"/>
    <w:unhideWhenUsed/>
    <w:rsid w:val="00230970"/>
    <w:pPr>
      <w:tabs>
        <w:tab w:val="center" w:pos="4153"/>
        <w:tab w:val="right" w:pos="8306"/>
      </w:tabs>
      <w:snapToGrid w:val="0"/>
      <w:jc w:val="left"/>
    </w:pPr>
    <w:rPr>
      <w:kern w:val="0"/>
      <w:sz w:val="18"/>
      <w:szCs w:val="18"/>
      <w:lang w:val="x-none" w:eastAsia="x-none"/>
    </w:rPr>
  </w:style>
  <w:style w:type="character" w:customStyle="1" w:styleId="FooterChar">
    <w:name w:val="Footer Char"/>
    <w:basedOn w:val="DefaultParagraphFont"/>
    <w:link w:val="Footer"/>
    <w:uiPriority w:val="99"/>
    <w:rsid w:val="00230970"/>
    <w:rPr>
      <w:rFonts w:asciiTheme="minorHAnsi" w:eastAsia="SimSun" w:hAnsiTheme="minorHAnsi"/>
      <w:sz w:val="18"/>
      <w:szCs w:val="18"/>
      <w:lang w:val="x-none" w:eastAsia="x-none"/>
    </w:rPr>
  </w:style>
  <w:style w:type="table" w:styleId="TableGrid">
    <w:name w:val="Table Grid"/>
    <w:basedOn w:val="TableNormal"/>
    <w:rsid w:val="00230970"/>
    <w:rPr>
      <w:rFonts w:ascii="Calibri" w:eastAsia="SimSun"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semiHidden/>
    <w:rsid w:val="00890FE3"/>
    <w:rPr>
      <w:rFonts w:asciiTheme="majorHAnsi" w:eastAsiaTheme="majorEastAsia" w:hAnsiTheme="majorHAnsi" w:cstheme="majorBidi"/>
      <w:i/>
      <w:iCs/>
      <w:color w:val="243F60" w:themeColor="accent1" w:themeShade="7F"/>
      <w:kern w:val="2"/>
      <w:szCs w:val="22"/>
      <w:lang w:eastAsia="zh-CN"/>
    </w:rPr>
  </w:style>
  <w:style w:type="paragraph" w:styleId="ListParagraph">
    <w:name w:val="List Paragraph"/>
    <w:basedOn w:val="Normal"/>
    <w:uiPriority w:val="34"/>
    <w:qFormat/>
    <w:rsid w:val="00890FE3"/>
    <w:pPr>
      <w:widowControl/>
      <w:spacing w:before="0" w:after="160" w:line="259" w:lineRule="auto"/>
      <w:ind w:left="720"/>
      <w:contextualSpacing/>
      <w:jc w:val="left"/>
    </w:pPr>
    <w:rPr>
      <w:rFonts w:eastAsiaTheme="minorHAnsi" w:cstheme="minorBidi"/>
      <w:kern w:val="0"/>
      <w:sz w:val="22"/>
      <w:lang w:val="en-MY" w:eastAsia="en-US"/>
    </w:rPr>
  </w:style>
  <w:style w:type="character" w:customStyle="1" w:styleId="NoSpacingChar">
    <w:name w:val="No Spacing Char"/>
    <w:link w:val="NoSpacing"/>
    <w:uiPriority w:val="1"/>
    <w:locked/>
    <w:rsid w:val="00DE426B"/>
    <w:rPr>
      <w:rFonts w:ascii="Arial" w:hAnsi="Arial" w:cs="Arial"/>
      <w:sz w:val="24"/>
    </w:rPr>
  </w:style>
  <w:style w:type="paragraph" w:styleId="NoSpacing">
    <w:name w:val="No Spacing"/>
    <w:link w:val="NoSpacingChar"/>
    <w:uiPriority w:val="1"/>
    <w:qFormat/>
    <w:rsid w:val="00DE426B"/>
    <w:rPr>
      <w:rFonts w:ascii="Arial" w:hAnsi="Arial" w:cs="Arial"/>
      <w:sz w:val="24"/>
    </w:rPr>
  </w:style>
  <w:style w:type="character" w:styleId="Hyperlink">
    <w:name w:val="Hyperlink"/>
    <w:rsid w:val="00742E97"/>
    <w:rPr>
      <w:strike w:val="0"/>
      <w:dstrike w:val="0"/>
      <w:color w:val="0000FF"/>
      <w:u w:val="none"/>
      <w:effect w:val="none"/>
    </w:rPr>
  </w:style>
  <w:style w:type="paragraph" w:customStyle="1" w:styleId="TextSubHead">
    <w:name w:val="TextSubHead"/>
    <w:rsid w:val="00742E97"/>
    <w:pPr>
      <w:widowControl w:val="0"/>
      <w:tabs>
        <w:tab w:val="center" w:pos="8640"/>
      </w:tabs>
      <w:autoSpaceDE w:val="0"/>
      <w:autoSpaceDN w:val="0"/>
      <w:adjustRightInd w:val="0"/>
    </w:pPr>
    <w:rPr>
      <w:rFonts w:ascii="Arial" w:hAnsi="Arial" w:cs="Arial"/>
      <w:b/>
      <w:bCs/>
      <w:color w:val="000000"/>
      <w:lang w:val="en-US" w:eastAsia="en-US"/>
    </w:rPr>
  </w:style>
  <w:style w:type="paragraph" w:customStyle="1" w:styleId="TextStd">
    <w:name w:val="TextStd"/>
    <w:link w:val="TextStdChar"/>
    <w:rsid w:val="00742E97"/>
    <w:pPr>
      <w:widowControl w:val="0"/>
      <w:tabs>
        <w:tab w:val="left" w:pos="576"/>
        <w:tab w:val="left" w:pos="1152"/>
      </w:tabs>
      <w:autoSpaceDE w:val="0"/>
      <w:autoSpaceDN w:val="0"/>
      <w:adjustRightInd w:val="0"/>
      <w:jc w:val="both"/>
    </w:pPr>
    <w:rPr>
      <w:rFonts w:ascii="Arial" w:hAnsi="Arial" w:cs="Arial"/>
      <w:color w:val="000000"/>
      <w:lang w:val="en-US" w:eastAsia="en-US"/>
    </w:rPr>
  </w:style>
  <w:style w:type="character" w:customStyle="1" w:styleId="TextStdChar">
    <w:name w:val="TextStd Char"/>
    <w:link w:val="TextStd"/>
    <w:locked/>
    <w:rsid w:val="00742E97"/>
    <w:rPr>
      <w:rFonts w:ascii="Arial" w:hAnsi="Arial" w:cs="Arial"/>
      <w:color w:val="000000"/>
      <w:lang w:val="en-US" w:eastAsia="en-US"/>
    </w:rPr>
  </w:style>
  <w:style w:type="character" w:styleId="CommentReference">
    <w:name w:val="annotation reference"/>
    <w:basedOn w:val="DefaultParagraphFont"/>
    <w:uiPriority w:val="99"/>
    <w:unhideWhenUsed/>
    <w:rsid w:val="00E476E5"/>
    <w:rPr>
      <w:sz w:val="16"/>
      <w:szCs w:val="16"/>
    </w:rPr>
  </w:style>
  <w:style w:type="paragraph" w:styleId="CommentText">
    <w:name w:val="annotation text"/>
    <w:basedOn w:val="Normal"/>
    <w:link w:val="CommentTextChar"/>
    <w:uiPriority w:val="99"/>
    <w:unhideWhenUsed/>
    <w:rsid w:val="00E476E5"/>
    <w:rPr>
      <w:szCs w:val="20"/>
    </w:rPr>
  </w:style>
  <w:style w:type="character" w:customStyle="1" w:styleId="CommentTextChar">
    <w:name w:val="Comment Text Char"/>
    <w:basedOn w:val="DefaultParagraphFont"/>
    <w:link w:val="CommentText"/>
    <w:uiPriority w:val="99"/>
    <w:rsid w:val="00E476E5"/>
    <w:rPr>
      <w:rFonts w:asciiTheme="minorHAnsi" w:eastAsia="SimSun" w:hAnsiTheme="minorHAnsi"/>
      <w:kern w:val="2"/>
      <w:lang w:eastAsia="zh-CN"/>
    </w:rPr>
  </w:style>
  <w:style w:type="paragraph" w:styleId="CommentSubject">
    <w:name w:val="annotation subject"/>
    <w:basedOn w:val="CommentText"/>
    <w:next w:val="CommentText"/>
    <w:link w:val="CommentSubjectChar"/>
    <w:semiHidden/>
    <w:unhideWhenUsed/>
    <w:rsid w:val="00E476E5"/>
    <w:rPr>
      <w:b/>
      <w:bCs/>
    </w:rPr>
  </w:style>
  <w:style w:type="character" w:customStyle="1" w:styleId="CommentSubjectChar">
    <w:name w:val="Comment Subject Char"/>
    <w:basedOn w:val="CommentTextChar"/>
    <w:link w:val="CommentSubject"/>
    <w:semiHidden/>
    <w:rsid w:val="00E476E5"/>
    <w:rPr>
      <w:rFonts w:asciiTheme="minorHAnsi" w:eastAsia="SimSun" w:hAnsiTheme="minorHAnsi"/>
      <w:b/>
      <w:bCs/>
      <w:kern w:val="2"/>
      <w:lang w:eastAsia="zh-CN"/>
    </w:rPr>
  </w:style>
  <w:style w:type="paragraph" w:customStyle="1" w:styleId="Default">
    <w:name w:val="Default"/>
    <w:rsid w:val="003426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F3626E"/>
    <w:pPr>
      <w:widowControl/>
      <w:spacing w:before="0" w:after="0"/>
      <w:jc w:val="left"/>
    </w:pPr>
    <w:rPr>
      <w:rFonts w:ascii="Courier New" w:eastAsia="Times New Roman" w:hAnsi="Courier New"/>
      <w:kern w:val="0"/>
      <w:szCs w:val="20"/>
      <w:lang w:val="en-AU" w:eastAsia="en-US"/>
    </w:rPr>
  </w:style>
  <w:style w:type="character" w:customStyle="1" w:styleId="PlainTextChar">
    <w:name w:val="Plain Text Char"/>
    <w:basedOn w:val="DefaultParagraphFont"/>
    <w:link w:val="PlainText"/>
    <w:uiPriority w:val="99"/>
    <w:rsid w:val="00F3626E"/>
    <w:rPr>
      <w:rFonts w:ascii="Courier New" w:hAnsi="Courier New"/>
      <w:lang w:val="en-AU" w:eastAsia="en-US"/>
    </w:rPr>
  </w:style>
  <w:style w:type="paragraph" w:customStyle="1" w:styleId="normal3">
    <w:name w:val="normal 3"/>
    <w:basedOn w:val="Normal"/>
    <w:link w:val="normal3Char"/>
    <w:qFormat/>
    <w:rsid w:val="00844AB9"/>
    <w:pPr>
      <w:widowControl/>
      <w:spacing w:after="240"/>
    </w:pPr>
    <w:rPr>
      <w:rFonts w:ascii="Arial" w:eastAsia="Times New Roman" w:hAnsi="Arial" w:cs="Arial"/>
      <w:kern w:val="0"/>
      <w:szCs w:val="20"/>
      <w:lang w:val="en-AU" w:eastAsia="en-US"/>
    </w:rPr>
  </w:style>
  <w:style w:type="character" w:customStyle="1" w:styleId="normal3Char">
    <w:name w:val="normal 3 Char"/>
    <w:basedOn w:val="DefaultParagraphFont"/>
    <w:link w:val="normal3"/>
    <w:rsid w:val="00844AB9"/>
    <w:rPr>
      <w:rFonts w:ascii="Arial" w:hAnsi="Arial" w:cs="Arial"/>
      <w:lang w:val="en-AU" w:eastAsia="en-US"/>
    </w:rPr>
  </w:style>
  <w:style w:type="paragraph" w:customStyle="1" w:styleId="font8">
    <w:name w:val="font_8"/>
    <w:basedOn w:val="Normal"/>
    <w:rsid w:val="00310418"/>
    <w:pPr>
      <w:widowControl/>
      <w:spacing w:before="100" w:beforeAutospacing="1" w:after="100" w:afterAutospacing="1"/>
      <w:jc w:val="left"/>
    </w:pPr>
    <w:rPr>
      <w:rFonts w:ascii="Times New Roman" w:eastAsia="Times New Roman" w:hAnsi="Times New Roman"/>
      <w:kern w:val="0"/>
      <w:sz w:val="24"/>
      <w:szCs w:val="24"/>
      <w:lang w:eastAsia="en-GB"/>
    </w:rPr>
  </w:style>
  <w:style w:type="character" w:customStyle="1" w:styleId="wixguard">
    <w:name w:val="wixguard"/>
    <w:basedOn w:val="DefaultParagraphFont"/>
    <w:rsid w:val="00310418"/>
  </w:style>
  <w:style w:type="character" w:customStyle="1" w:styleId="UnresolvedMention1">
    <w:name w:val="Unresolved Mention1"/>
    <w:basedOn w:val="DefaultParagraphFont"/>
    <w:uiPriority w:val="99"/>
    <w:semiHidden/>
    <w:unhideWhenUsed/>
    <w:rsid w:val="00592872"/>
    <w:rPr>
      <w:color w:val="605E5C"/>
      <w:shd w:val="clear" w:color="auto" w:fill="E1DFDD"/>
    </w:rPr>
  </w:style>
  <w:style w:type="paragraph" w:customStyle="1" w:styleId="bu">
    <w:name w:val="bu"/>
    <w:basedOn w:val="Normal"/>
    <w:rsid w:val="00F70D8E"/>
    <w:pPr>
      <w:widowControl/>
      <w:spacing w:before="100" w:beforeAutospacing="1" w:after="100" w:afterAutospacing="1"/>
      <w:jc w:val="left"/>
    </w:pPr>
    <w:rPr>
      <w:rFonts w:ascii="Times New Roman" w:eastAsia="Times New Roman" w:hAnsi="Times New Roman"/>
      <w:kern w:val="0"/>
      <w:sz w:val="24"/>
      <w:szCs w:val="24"/>
      <w:lang w:eastAsia="en-GB"/>
    </w:rPr>
  </w:style>
  <w:style w:type="paragraph" w:customStyle="1" w:styleId="dj">
    <w:name w:val="dj"/>
    <w:basedOn w:val="Normal"/>
    <w:rsid w:val="00CF4583"/>
    <w:pPr>
      <w:widowControl/>
      <w:spacing w:before="100" w:beforeAutospacing="1" w:after="100" w:afterAutospacing="1"/>
      <w:jc w:val="left"/>
    </w:pPr>
    <w:rPr>
      <w:rFonts w:ascii="Times New Roman" w:eastAsia="Times New Roman" w:hAnsi="Times New Roman"/>
      <w:kern w:val="0"/>
      <w:sz w:val="24"/>
      <w:szCs w:val="24"/>
      <w:lang w:eastAsia="en-GB"/>
    </w:rPr>
  </w:style>
  <w:style w:type="paragraph" w:styleId="Revision">
    <w:name w:val="Revision"/>
    <w:hidden/>
    <w:uiPriority w:val="99"/>
    <w:semiHidden/>
    <w:rsid w:val="009D71FE"/>
    <w:rPr>
      <w:rFonts w:asciiTheme="minorHAnsi" w:eastAsia="SimSun" w:hAnsiTheme="minorHAnsi"/>
      <w:kern w:val="2"/>
      <w:szCs w:val="22"/>
      <w:lang w:eastAsia="zh-CN"/>
    </w:rPr>
  </w:style>
  <w:style w:type="character" w:customStyle="1" w:styleId="NoneA">
    <w:name w:val="None A"/>
    <w:rsid w:val="00B24D9F"/>
  </w:style>
  <w:style w:type="paragraph" w:customStyle="1" w:styleId="BodyA">
    <w:name w:val="Body A"/>
    <w:link w:val="BodyAChar"/>
    <w:rsid w:val="00B24D9F"/>
    <w:pPr>
      <w:pBdr>
        <w:top w:val="nil"/>
        <w:left w:val="nil"/>
        <w:bottom w:val="nil"/>
        <w:right w:val="nil"/>
        <w:between w:val="nil"/>
        <w:bar w:val="nil"/>
      </w:pBdr>
    </w:pPr>
    <w:rPr>
      <w:rFonts w:eastAsia="Arial Unicode MS" w:cs="Arial Unicode MS"/>
      <w:color w:val="000000"/>
      <w:u w:color="000000"/>
      <w:bdr w:val="nil"/>
      <w:lang w:val="en-US"/>
    </w:rPr>
  </w:style>
  <w:style w:type="character" w:customStyle="1" w:styleId="BodyAChar">
    <w:name w:val="Body A Char"/>
    <w:basedOn w:val="DefaultParagraphFont"/>
    <w:link w:val="BodyA"/>
    <w:rsid w:val="00B24D9F"/>
    <w:rPr>
      <w:rFonts w:eastAsia="Arial Unicode MS" w:cs="Arial Unicode MS"/>
      <w:color w:val="000000"/>
      <w:u w:color="000000"/>
      <w:bdr w:val="nil"/>
      <w:lang w:val="en-US"/>
    </w:rPr>
  </w:style>
  <w:style w:type="paragraph" w:customStyle="1" w:styleId="Subheading1a">
    <w:name w:val="Subheading 1a"/>
    <w:basedOn w:val="Normal"/>
    <w:link w:val="Subheading1aChar"/>
    <w:qFormat/>
    <w:rsid w:val="00BC621A"/>
    <w:pPr>
      <w:keepNext/>
      <w:widowControl/>
      <w:spacing w:before="0" w:after="240"/>
      <w:jc w:val="left"/>
      <w:outlineLvl w:val="0"/>
    </w:pPr>
    <w:rPr>
      <w:rFonts w:ascii="Arial" w:eastAsia="Calibri" w:hAnsi="Arial" w:cs="Arial"/>
      <w:b/>
      <w:bCs/>
      <w:color w:val="002060"/>
      <w:kern w:val="32"/>
      <w:sz w:val="24"/>
      <w:szCs w:val="24"/>
      <w:lang w:eastAsia="en-US"/>
    </w:rPr>
  </w:style>
  <w:style w:type="character" w:customStyle="1" w:styleId="Subheading1aChar">
    <w:name w:val="Subheading 1a Char"/>
    <w:basedOn w:val="DefaultParagraphFont"/>
    <w:link w:val="Subheading1a"/>
    <w:rsid w:val="00BC621A"/>
    <w:rPr>
      <w:rFonts w:ascii="Arial" w:eastAsia="Calibri" w:hAnsi="Arial" w:cs="Arial"/>
      <w:b/>
      <w:bCs/>
      <w:color w:val="002060"/>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447">
      <w:bodyDiv w:val="1"/>
      <w:marLeft w:val="0"/>
      <w:marRight w:val="0"/>
      <w:marTop w:val="0"/>
      <w:marBottom w:val="0"/>
      <w:divBdr>
        <w:top w:val="none" w:sz="0" w:space="0" w:color="auto"/>
        <w:left w:val="none" w:sz="0" w:space="0" w:color="auto"/>
        <w:bottom w:val="none" w:sz="0" w:space="0" w:color="auto"/>
        <w:right w:val="none" w:sz="0" w:space="0" w:color="auto"/>
      </w:divBdr>
    </w:div>
    <w:div w:id="557278428">
      <w:bodyDiv w:val="1"/>
      <w:marLeft w:val="0"/>
      <w:marRight w:val="0"/>
      <w:marTop w:val="0"/>
      <w:marBottom w:val="0"/>
      <w:divBdr>
        <w:top w:val="none" w:sz="0" w:space="0" w:color="auto"/>
        <w:left w:val="none" w:sz="0" w:space="0" w:color="auto"/>
        <w:bottom w:val="none" w:sz="0" w:space="0" w:color="auto"/>
        <w:right w:val="none" w:sz="0" w:space="0" w:color="auto"/>
      </w:divBdr>
    </w:div>
    <w:div w:id="941764879">
      <w:bodyDiv w:val="1"/>
      <w:marLeft w:val="0"/>
      <w:marRight w:val="0"/>
      <w:marTop w:val="0"/>
      <w:marBottom w:val="0"/>
      <w:divBdr>
        <w:top w:val="none" w:sz="0" w:space="0" w:color="auto"/>
        <w:left w:val="none" w:sz="0" w:space="0" w:color="auto"/>
        <w:bottom w:val="none" w:sz="0" w:space="0" w:color="auto"/>
        <w:right w:val="none" w:sz="0" w:space="0" w:color="auto"/>
      </w:divBdr>
    </w:div>
    <w:div w:id="962615445">
      <w:bodyDiv w:val="1"/>
      <w:marLeft w:val="0"/>
      <w:marRight w:val="0"/>
      <w:marTop w:val="0"/>
      <w:marBottom w:val="0"/>
      <w:divBdr>
        <w:top w:val="none" w:sz="0" w:space="0" w:color="auto"/>
        <w:left w:val="none" w:sz="0" w:space="0" w:color="auto"/>
        <w:bottom w:val="none" w:sz="0" w:space="0" w:color="auto"/>
        <w:right w:val="none" w:sz="0" w:space="0" w:color="auto"/>
      </w:divBdr>
      <w:divsChild>
        <w:div w:id="1317152279">
          <w:marLeft w:val="0"/>
          <w:marRight w:val="0"/>
          <w:marTop w:val="0"/>
          <w:marBottom w:val="0"/>
          <w:divBdr>
            <w:top w:val="none" w:sz="0" w:space="0" w:color="auto"/>
            <w:left w:val="none" w:sz="0" w:space="0" w:color="auto"/>
            <w:bottom w:val="none" w:sz="0" w:space="0" w:color="auto"/>
            <w:right w:val="none" w:sz="0" w:space="0" w:color="auto"/>
          </w:divBdr>
        </w:div>
        <w:div w:id="17588886">
          <w:marLeft w:val="0"/>
          <w:marRight w:val="0"/>
          <w:marTop w:val="0"/>
          <w:marBottom w:val="0"/>
          <w:divBdr>
            <w:top w:val="none" w:sz="0" w:space="0" w:color="auto"/>
            <w:left w:val="none" w:sz="0" w:space="0" w:color="auto"/>
            <w:bottom w:val="none" w:sz="0" w:space="0" w:color="auto"/>
            <w:right w:val="none" w:sz="0" w:space="0" w:color="auto"/>
          </w:divBdr>
          <w:divsChild>
            <w:div w:id="1085803992">
              <w:marLeft w:val="0"/>
              <w:marRight w:val="0"/>
              <w:marTop w:val="0"/>
              <w:marBottom w:val="0"/>
              <w:divBdr>
                <w:top w:val="none" w:sz="0" w:space="0" w:color="auto"/>
                <w:left w:val="none" w:sz="0" w:space="0" w:color="auto"/>
                <w:bottom w:val="none" w:sz="0" w:space="0" w:color="auto"/>
                <w:right w:val="none" w:sz="0" w:space="0" w:color="auto"/>
              </w:divBdr>
            </w:div>
            <w:div w:id="558250702">
              <w:marLeft w:val="0"/>
              <w:marRight w:val="0"/>
              <w:marTop w:val="0"/>
              <w:marBottom w:val="0"/>
              <w:divBdr>
                <w:top w:val="none" w:sz="0" w:space="0" w:color="auto"/>
                <w:left w:val="none" w:sz="0" w:space="0" w:color="auto"/>
                <w:bottom w:val="none" w:sz="0" w:space="0" w:color="auto"/>
                <w:right w:val="none" w:sz="0" w:space="0" w:color="auto"/>
              </w:divBdr>
            </w:div>
            <w:div w:id="410466323">
              <w:marLeft w:val="0"/>
              <w:marRight w:val="0"/>
              <w:marTop w:val="0"/>
              <w:marBottom w:val="0"/>
              <w:divBdr>
                <w:top w:val="none" w:sz="0" w:space="0" w:color="auto"/>
                <w:left w:val="none" w:sz="0" w:space="0" w:color="auto"/>
                <w:bottom w:val="none" w:sz="0" w:space="0" w:color="auto"/>
                <w:right w:val="none" w:sz="0" w:space="0" w:color="auto"/>
              </w:divBdr>
            </w:div>
            <w:div w:id="1320813073">
              <w:marLeft w:val="0"/>
              <w:marRight w:val="0"/>
              <w:marTop w:val="0"/>
              <w:marBottom w:val="0"/>
              <w:divBdr>
                <w:top w:val="none" w:sz="0" w:space="0" w:color="auto"/>
                <w:left w:val="none" w:sz="0" w:space="0" w:color="auto"/>
                <w:bottom w:val="none" w:sz="0" w:space="0" w:color="auto"/>
                <w:right w:val="none" w:sz="0" w:space="0" w:color="auto"/>
              </w:divBdr>
            </w:div>
            <w:div w:id="1345790408">
              <w:marLeft w:val="0"/>
              <w:marRight w:val="0"/>
              <w:marTop w:val="0"/>
              <w:marBottom w:val="0"/>
              <w:divBdr>
                <w:top w:val="none" w:sz="0" w:space="0" w:color="auto"/>
                <w:left w:val="none" w:sz="0" w:space="0" w:color="auto"/>
                <w:bottom w:val="none" w:sz="0" w:space="0" w:color="auto"/>
                <w:right w:val="none" w:sz="0" w:space="0" w:color="auto"/>
              </w:divBdr>
            </w:div>
            <w:div w:id="373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843">
      <w:bodyDiv w:val="1"/>
      <w:marLeft w:val="0"/>
      <w:marRight w:val="0"/>
      <w:marTop w:val="0"/>
      <w:marBottom w:val="0"/>
      <w:divBdr>
        <w:top w:val="none" w:sz="0" w:space="0" w:color="auto"/>
        <w:left w:val="none" w:sz="0" w:space="0" w:color="auto"/>
        <w:bottom w:val="none" w:sz="0" w:space="0" w:color="auto"/>
        <w:right w:val="none" w:sz="0" w:space="0" w:color="auto"/>
      </w:divBdr>
    </w:div>
    <w:div w:id="1255631956">
      <w:bodyDiv w:val="1"/>
      <w:marLeft w:val="0"/>
      <w:marRight w:val="0"/>
      <w:marTop w:val="0"/>
      <w:marBottom w:val="0"/>
      <w:divBdr>
        <w:top w:val="none" w:sz="0" w:space="0" w:color="auto"/>
        <w:left w:val="none" w:sz="0" w:space="0" w:color="auto"/>
        <w:bottom w:val="none" w:sz="0" w:space="0" w:color="auto"/>
        <w:right w:val="none" w:sz="0" w:space="0" w:color="auto"/>
      </w:divBdr>
    </w:div>
    <w:div w:id="20102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evans@tavira.group"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roy@mmmplc.com"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mmplc.com/"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1F22A0A8FC54DA9F569E099FBDCED" ma:contentTypeVersion="4" ma:contentTypeDescription="Create a new document." ma:contentTypeScope="" ma:versionID="e67f9f257f103412dae656d812fffe71">
  <xsd:schema xmlns:xsd="http://www.w3.org/2001/XMLSchema" xmlns:xs="http://www.w3.org/2001/XMLSchema" xmlns:p="http://schemas.microsoft.com/office/2006/metadata/properties" xmlns:ns2="6f758b3a-76c5-43d7-b443-76a2bea92e19" targetNamespace="http://schemas.microsoft.com/office/2006/metadata/properties" ma:root="true" ma:fieldsID="9385c2eeccbd16e1e3926a1324776a2e" ns2:_="">
    <xsd:import namespace="6f758b3a-76c5-43d7-b443-76a2bea92e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8b3a-76c5-43d7-b443-76a2bea92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508CF-307D-4D17-8FD9-1A4B819FD4DF}">
  <ds:schemaRefs>
    <ds:schemaRef ds:uri="http://schemas.openxmlformats.org/officeDocument/2006/bibliography"/>
  </ds:schemaRefs>
</ds:datastoreItem>
</file>

<file path=customXml/itemProps2.xml><?xml version="1.0" encoding="utf-8"?>
<ds:datastoreItem xmlns:ds="http://schemas.openxmlformats.org/officeDocument/2006/customXml" ds:itemID="{566074DD-8CC8-46D3-9AE4-ACBCDBF82E18}">
  <ds:schemaRefs>
    <ds:schemaRef ds:uri="http://schemas.microsoft.com/sharepoint/v3/contenttype/forms"/>
  </ds:schemaRefs>
</ds:datastoreItem>
</file>

<file path=customXml/itemProps3.xml><?xml version="1.0" encoding="utf-8"?>
<ds:datastoreItem xmlns:ds="http://schemas.openxmlformats.org/officeDocument/2006/customXml" ds:itemID="{409F7C98-6D63-4CF0-A5FC-6058DE55C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489C97-36BB-4A0A-B525-AEC238361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8b3a-76c5-43d7-b443-76a2bea92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8755</Words>
  <Characters>49907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CCW</Company>
  <LinksUpToDate>false</LinksUpToDate>
  <CharactersWithSpaces>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Charlton</dc:creator>
  <cp:keywords/>
  <dc:description/>
  <cp:lastModifiedBy>Fuad Sillem</cp:lastModifiedBy>
  <cp:revision>2</cp:revision>
  <cp:lastPrinted>2019-08-14T11:59:00Z</cp:lastPrinted>
  <dcterms:created xsi:type="dcterms:W3CDTF">2023-05-29T09:03:00Z</dcterms:created>
  <dcterms:modified xsi:type="dcterms:W3CDTF">2023-05-29T09:03:00Z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0x0101005F61F22A0A8FC54DA9F569E099FBDCED</vt:lpwstr>
  </property>
  <property fmtid="{D5CDD505-2E9C-101B-9397-08002B2CF9AE}" pid="3" name="Order">
    <vt:r8>2435400</vt:r8>
  </property>
</Properties>
</file>