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552A" w14:textId="4EEADD58" w:rsidR="00116DEB" w:rsidRPr="00D573FE" w:rsidRDefault="00116DEB" w:rsidP="00316722">
      <w:pPr>
        <w:spacing w:after="100" w:afterAutospacing="1" w:line="240" w:lineRule="auto"/>
        <w:rPr>
          <w:rFonts w:cstheme="minorHAnsi"/>
        </w:rPr>
      </w:pPr>
      <w:r w:rsidRPr="00D573FE">
        <w:rPr>
          <w:rFonts w:cstheme="minorHAnsi"/>
        </w:rPr>
        <w:t>The information contained within this announcement is deemed to constitute inside information pursuant to the EU (Withdrawal) Act and amended pursuant to Market Abuse (Amended) (EU Exit) Regulations 2019. Upon the publication of this announcement, this inside information is now considered to be in the public domain.</w:t>
      </w:r>
    </w:p>
    <w:p w14:paraId="14356873" w14:textId="5EF20A1C" w:rsidR="00316722" w:rsidRPr="00D573FE" w:rsidRDefault="00923915" w:rsidP="00316722">
      <w:pPr>
        <w:spacing w:after="100" w:afterAutospacing="1" w:line="240" w:lineRule="auto"/>
        <w:rPr>
          <w:rFonts w:eastAsia="Times New Roman" w:cstheme="minorHAnsi"/>
          <w:b/>
          <w:bCs/>
          <w:color w:val="000000" w:themeColor="text1"/>
          <w:lang w:eastAsia="en-GB"/>
        </w:rPr>
      </w:pPr>
      <w:r>
        <w:rPr>
          <w:rFonts w:eastAsia="Times New Roman" w:cstheme="minorHAnsi"/>
          <w:b/>
          <w:bCs/>
          <w:color w:val="000000" w:themeColor="text1"/>
          <w:lang w:eastAsia="en-GB"/>
        </w:rPr>
        <w:t>15</w:t>
      </w:r>
      <w:r w:rsidR="00875EF0" w:rsidRPr="00D573FE">
        <w:rPr>
          <w:rFonts w:eastAsia="Times New Roman" w:cstheme="minorHAnsi"/>
          <w:b/>
          <w:bCs/>
          <w:color w:val="000000" w:themeColor="text1"/>
          <w:lang w:eastAsia="en-GB"/>
        </w:rPr>
        <w:t xml:space="preserve"> February</w:t>
      </w:r>
      <w:r w:rsidR="00C2685E" w:rsidRPr="00D573FE">
        <w:rPr>
          <w:rFonts w:eastAsia="Times New Roman" w:cstheme="minorHAnsi"/>
          <w:b/>
          <w:bCs/>
          <w:color w:val="000000" w:themeColor="text1"/>
          <w:lang w:eastAsia="en-GB"/>
        </w:rPr>
        <w:t xml:space="preserve"> </w:t>
      </w:r>
      <w:r w:rsidR="00316722" w:rsidRPr="00D573FE">
        <w:rPr>
          <w:rFonts w:eastAsia="Times New Roman" w:cstheme="minorHAnsi"/>
          <w:b/>
          <w:bCs/>
          <w:color w:val="000000" w:themeColor="text1"/>
          <w:lang w:eastAsia="en-GB"/>
        </w:rPr>
        <w:t>202</w:t>
      </w:r>
      <w:r w:rsidR="00C2685E" w:rsidRPr="00D573FE">
        <w:rPr>
          <w:rFonts w:eastAsia="Times New Roman" w:cstheme="minorHAnsi"/>
          <w:b/>
          <w:bCs/>
          <w:color w:val="000000" w:themeColor="text1"/>
          <w:lang w:eastAsia="en-GB"/>
        </w:rPr>
        <w:t>1</w:t>
      </w:r>
    </w:p>
    <w:p w14:paraId="5FF4D227" w14:textId="77777777" w:rsidR="00316722" w:rsidRPr="00D573FE" w:rsidRDefault="00316722" w:rsidP="00316722">
      <w:pPr>
        <w:spacing w:after="100" w:afterAutospacing="1" w:line="240" w:lineRule="auto"/>
        <w:rPr>
          <w:rFonts w:eastAsia="Times New Roman" w:cstheme="minorHAnsi"/>
          <w:color w:val="000000" w:themeColor="text1"/>
          <w:lang w:eastAsia="en-GB"/>
        </w:rPr>
      </w:pPr>
      <w:r w:rsidRPr="00D573FE">
        <w:rPr>
          <w:rFonts w:eastAsia="Times New Roman" w:cstheme="minorHAnsi"/>
          <w:b/>
          <w:bCs/>
          <w:color w:val="000000" w:themeColor="text1"/>
          <w:lang w:eastAsia="en-GB"/>
        </w:rPr>
        <w:t>For Immediate Release</w:t>
      </w:r>
    </w:p>
    <w:p w14:paraId="4E2EFBDB" w14:textId="77777777" w:rsidR="00316722" w:rsidRPr="00D573FE" w:rsidRDefault="00316722" w:rsidP="00316722">
      <w:pPr>
        <w:spacing w:after="100" w:afterAutospacing="1" w:line="240" w:lineRule="auto"/>
        <w:jc w:val="center"/>
        <w:rPr>
          <w:rFonts w:eastAsia="Times New Roman" w:cstheme="minorHAnsi"/>
          <w:color w:val="000000" w:themeColor="text1"/>
          <w:lang w:eastAsia="en-GB"/>
        </w:rPr>
      </w:pPr>
      <w:r w:rsidRPr="00D573FE">
        <w:rPr>
          <w:rFonts w:eastAsia="Times New Roman" w:cstheme="minorHAnsi"/>
          <w:b/>
          <w:bCs/>
          <w:color w:val="000000" w:themeColor="text1"/>
          <w:lang w:eastAsia="en-GB"/>
        </w:rPr>
        <w:t>Mining, Minerals &amp; Metals plc</w:t>
      </w:r>
    </w:p>
    <w:p w14:paraId="7B80EAA7" w14:textId="77777777" w:rsidR="00316722" w:rsidRPr="00D573FE" w:rsidRDefault="00316722" w:rsidP="00316722">
      <w:pPr>
        <w:spacing w:after="100" w:afterAutospacing="1" w:line="240" w:lineRule="auto"/>
        <w:jc w:val="center"/>
        <w:rPr>
          <w:rFonts w:eastAsia="Times New Roman" w:cstheme="minorHAnsi"/>
          <w:color w:val="000000" w:themeColor="text1"/>
          <w:lang w:eastAsia="en-GB"/>
        </w:rPr>
      </w:pPr>
      <w:r w:rsidRPr="00D573FE">
        <w:rPr>
          <w:rFonts w:eastAsia="Times New Roman" w:cstheme="minorHAnsi"/>
          <w:color w:val="000000" w:themeColor="text1"/>
          <w:lang w:eastAsia="en-GB"/>
        </w:rPr>
        <w:t>("</w:t>
      </w:r>
      <w:r w:rsidRPr="00D573FE">
        <w:rPr>
          <w:rFonts w:eastAsia="Times New Roman" w:cstheme="minorHAnsi"/>
          <w:b/>
          <w:bCs/>
          <w:color w:val="000000" w:themeColor="text1"/>
          <w:lang w:eastAsia="en-GB"/>
        </w:rPr>
        <w:t>MMM</w:t>
      </w:r>
      <w:r w:rsidRPr="00D573FE">
        <w:rPr>
          <w:rFonts w:eastAsia="Times New Roman" w:cstheme="minorHAnsi"/>
          <w:color w:val="000000" w:themeColor="text1"/>
          <w:lang w:eastAsia="en-GB"/>
        </w:rPr>
        <w:t>" or the "</w:t>
      </w:r>
      <w:r w:rsidRPr="00D573FE">
        <w:rPr>
          <w:rFonts w:eastAsia="Times New Roman" w:cstheme="minorHAnsi"/>
          <w:b/>
          <w:bCs/>
          <w:color w:val="000000" w:themeColor="text1"/>
          <w:lang w:eastAsia="en-GB"/>
        </w:rPr>
        <w:t>Company</w:t>
      </w:r>
      <w:r w:rsidRPr="00D573FE">
        <w:rPr>
          <w:rFonts w:eastAsia="Times New Roman" w:cstheme="minorHAnsi"/>
          <w:color w:val="000000" w:themeColor="text1"/>
          <w:lang w:eastAsia="en-GB"/>
        </w:rPr>
        <w:t>")</w:t>
      </w:r>
    </w:p>
    <w:p w14:paraId="1060A9BB" w14:textId="7E6DEDD5" w:rsidR="00316722" w:rsidRPr="00D573FE" w:rsidRDefault="00875EF0" w:rsidP="00316722">
      <w:pPr>
        <w:pStyle w:val="bv"/>
        <w:spacing w:before="0" w:beforeAutospacing="0"/>
        <w:jc w:val="center"/>
        <w:rPr>
          <w:rFonts w:asciiTheme="minorHAnsi" w:hAnsiTheme="minorHAnsi" w:cstheme="minorHAnsi"/>
          <w:b/>
          <w:bCs/>
          <w:color w:val="000000" w:themeColor="text1"/>
          <w:sz w:val="22"/>
          <w:szCs w:val="22"/>
        </w:rPr>
      </w:pPr>
      <w:r w:rsidRPr="00D573FE">
        <w:rPr>
          <w:rStyle w:val="br"/>
          <w:rFonts w:asciiTheme="minorHAnsi" w:hAnsiTheme="minorHAnsi" w:cstheme="minorHAnsi"/>
          <w:b/>
          <w:bCs/>
          <w:color w:val="000000" w:themeColor="text1"/>
          <w:sz w:val="22"/>
          <w:szCs w:val="22"/>
        </w:rPr>
        <w:t>Corporate Update</w:t>
      </w:r>
      <w:r w:rsidR="006A1ABE">
        <w:rPr>
          <w:rStyle w:val="br"/>
          <w:rFonts w:asciiTheme="minorHAnsi" w:hAnsiTheme="minorHAnsi" w:cstheme="minorHAnsi"/>
          <w:b/>
          <w:bCs/>
          <w:color w:val="000000" w:themeColor="text1"/>
          <w:sz w:val="22"/>
          <w:szCs w:val="22"/>
        </w:rPr>
        <w:t xml:space="preserve"> and </w:t>
      </w:r>
      <w:r w:rsidR="001A1FBD">
        <w:rPr>
          <w:rStyle w:val="br"/>
          <w:rFonts w:asciiTheme="minorHAnsi" w:hAnsiTheme="minorHAnsi" w:cstheme="minorHAnsi"/>
          <w:b/>
          <w:bCs/>
          <w:color w:val="000000" w:themeColor="text1"/>
          <w:sz w:val="22"/>
          <w:szCs w:val="22"/>
        </w:rPr>
        <w:t>B</w:t>
      </w:r>
      <w:r w:rsidR="006A1ABE">
        <w:rPr>
          <w:rStyle w:val="br"/>
          <w:rFonts w:asciiTheme="minorHAnsi" w:hAnsiTheme="minorHAnsi" w:cstheme="minorHAnsi"/>
          <w:b/>
          <w:bCs/>
          <w:color w:val="000000" w:themeColor="text1"/>
          <w:sz w:val="22"/>
          <w:szCs w:val="22"/>
        </w:rPr>
        <w:t xml:space="preserve">oard </w:t>
      </w:r>
      <w:r w:rsidR="001A1FBD">
        <w:rPr>
          <w:rStyle w:val="br"/>
          <w:rFonts w:asciiTheme="minorHAnsi" w:hAnsiTheme="minorHAnsi" w:cstheme="minorHAnsi"/>
          <w:b/>
          <w:bCs/>
          <w:color w:val="000000" w:themeColor="text1"/>
          <w:sz w:val="22"/>
          <w:szCs w:val="22"/>
        </w:rPr>
        <w:t>C</w:t>
      </w:r>
      <w:r w:rsidR="006A1ABE">
        <w:rPr>
          <w:rStyle w:val="br"/>
          <w:rFonts w:asciiTheme="minorHAnsi" w:hAnsiTheme="minorHAnsi" w:cstheme="minorHAnsi"/>
          <w:b/>
          <w:bCs/>
          <w:color w:val="000000" w:themeColor="text1"/>
          <w:sz w:val="22"/>
          <w:szCs w:val="22"/>
        </w:rPr>
        <w:t>hanges</w:t>
      </w:r>
    </w:p>
    <w:p w14:paraId="5FAB05BC" w14:textId="4BD42068" w:rsidR="00223D83" w:rsidRDefault="00316722" w:rsidP="00316722">
      <w:pPr>
        <w:pStyle w:val="bu"/>
        <w:spacing w:before="0" w:beforeAutospacing="0"/>
        <w:jc w:val="both"/>
        <w:rPr>
          <w:rStyle w:val="br"/>
          <w:rFonts w:asciiTheme="minorHAnsi" w:hAnsiTheme="minorHAnsi" w:cstheme="minorHAnsi"/>
          <w:color w:val="000000" w:themeColor="text1"/>
          <w:sz w:val="22"/>
          <w:szCs w:val="22"/>
        </w:rPr>
      </w:pPr>
      <w:r w:rsidRPr="00D573FE">
        <w:rPr>
          <w:rStyle w:val="br"/>
          <w:rFonts w:asciiTheme="minorHAnsi" w:hAnsiTheme="minorHAnsi" w:cstheme="minorHAnsi"/>
          <w:color w:val="000000" w:themeColor="text1"/>
          <w:sz w:val="22"/>
          <w:szCs w:val="22"/>
        </w:rPr>
        <w:t>MMM</w:t>
      </w:r>
      <w:r w:rsidR="005C102C" w:rsidRPr="00D573FE">
        <w:rPr>
          <w:rStyle w:val="br"/>
          <w:rFonts w:asciiTheme="minorHAnsi" w:hAnsiTheme="minorHAnsi" w:cstheme="minorHAnsi"/>
          <w:color w:val="000000" w:themeColor="text1"/>
          <w:sz w:val="22"/>
          <w:szCs w:val="22"/>
        </w:rPr>
        <w:t xml:space="preserve"> (LSE: MMM)</w:t>
      </w:r>
      <w:r w:rsidRPr="00D573FE">
        <w:rPr>
          <w:rStyle w:val="br"/>
          <w:rFonts w:asciiTheme="minorHAnsi" w:hAnsiTheme="minorHAnsi" w:cstheme="minorHAnsi"/>
          <w:color w:val="000000" w:themeColor="text1"/>
          <w:sz w:val="22"/>
          <w:szCs w:val="22"/>
        </w:rPr>
        <w:t xml:space="preserve">, the listed special purpose acquisition vehicle seeking to acquire and develop one or more businesses that has operations involved in natural resources, is </w:t>
      </w:r>
      <w:r w:rsidR="00C257CA" w:rsidRPr="00D573FE">
        <w:rPr>
          <w:rStyle w:val="br"/>
          <w:rFonts w:asciiTheme="minorHAnsi" w:hAnsiTheme="minorHAnsi" w:cstheme="minorHAnsi"/>
          <w:color w:val="000000" w:themeColor="text1"/>
          <w:sz w:val="22"/>
          <w:szCs w:val="22"/>
        </w:rPr>
        <w:t xml:space="preserve">providing an update on </w:t>
      </w:r>
      <w:r w:rsidR="00B945DE" w:rsidRPr="00D573FE">
        <w:rPr>
          <w:rStyle w:val="br"/>
          <w:rFonts w:asciiTheme="minorHAnsi" w:hAnsiTheme="minorHAnsi" w:cstheme="minorHAnsi"/>
          <w:color w:val="000000" w:themeColor="text1"/>
          <w:sz w:val="22"/>
          <w:szCs w:val="22"/>
        </w:rPr>
        <w:t>various corporate matters.</w:t>
      </w:r>
    </w:p>
    <w:p w14:paraId="555D17E7" w14:textId="565C753D" w:rsidR="00B945DE" w:rsidRPr="00AB35C1" w:rsidRDefault="00B945DE" w:rsidP="00316722">
      <w:pPr>
        <w:pStyle w:val="bu"/>
        <w:spacing w:before="0" w:beforeAutospacing="0"/>
        <w:jc w:val="both"/>
        <w:rPr>
          <w:rStyle w:val="br"/>
          <w:rFonts w:asciiTheme="minorHAnsi" w:hAnsiTheme="minorHAnsi" w:cstheme="minorHAnsi"/>
          <w:b/>
          <w:bCs/>
          <w:color w:val="000000" w:themeColor="text1"/>
          <w:sz w:val="22"/>
          <w:szCs w:val="22"/>
        </w:rPr>
      </w:pPr>
      <w:r w:rsidRPr="00AB35C1">
        <w:rPr>
          <w:rStyle w:val="br"/>
          <w:rFonts w:asciiTheme="minorHAnsi" w:hAnsiTheme="minorHAnsi" w:cstheme="minorHAnsi"/>
          <w:b/>
          <w:bCs/>
          <w:color w:val="000000" w:themeColor="text1"/>
          <w:sz w:val="22"/>
          <w:szCs w:val="22"/>
        </w:rPr>
        <w:t xml:space="preserve">Summary of </w:t>
      </w:r>
      <w:r w:rsidR="00F8497C" w:rsidRPr="00AB35C1">
        <w:rPr>
          <w:rStyle w:val="br"/>
          <w:rFonts w:asciiTheme="minorHAnsi" w:hAnsiTheme="minorHAnsi" w:cstheme="minorHAnsi"/>
          <w:b/>
          <w:bCs/>
          <w:color w:val="000000" w:themeColor="text1"/>
          <w:sz w:val="22"/>
          <w:szCs w:val="22"/>
        </w:rPr>
        <w:t>Share Transfers</w:t>
      </w:r>
    </w:p>
    <w:p w14:paraId="125BEABF" w14:textId="2DE23EB3" w:rsidR="00387BDC" w:rsidRDefault="008D7171" w:rsidP="00397DF3">
      <w:pPr>
        <w:pStyle w:val="bu"/>
        <w:spacing w:before="0" w:beforeAutospacing="0"/>
        <w:jc w:val="both"/>
        <w:rPr>
          <w:rStyle w:val="br"/>
          <w:rFonts w:asciiTheme="minorHAnsi" w:hAnsiTheme="minorHAnsi" w:cstheme="minorHAnsi"/>
          <w:color w:val="000000" w:themeColor="text1"/>
          <w:sz w:val="22"/>
          <w:szCs w:val="22"/>
        </w:rPr>
      </w:pPr>
      <w:r w:rsidRPr="00D573FE">
        <w:rPr>
          <w:rStyle w:val="br"/>
          <w:rFonts w:asciiTheme="minorHAnsi" w:hAnsiTheme="minorHAnsi" w:cstheme="minorHAnsi"/>
          <w:color w:val="000000" w:themeColor="text1"/>
          <w:sz w:val="22"/>
          <w:szCs w:val="22"/>
        </w:rPr>
        <w:t xml:space="preserve">MMM </w:t>
      </w:r>
      <w:r w:rsidR="00C822F7">
        <w:rPr>
          <w:rStyle w:val="br"/>
          <w:rFonts w:asciiTheme="minorHAnsi" w:hAnsiTheme="minorHAnsi" w:cstheme="minorHAnsi"/>
          <w:color w:val="000000" w:themeColor="text1"/>
          <w:sz w:val="22"/>
          <w:szCs w:val="22"/>
        </w:rPr>
        <w:t xml:space="preserve">has noted the recent </w:t>
      </w:r>
      <w:r w:rsidRPr="00D573FE">
        <w:rPr>
          <w:rStyle w:val="br"/>
          <w:rFonts w:asciiTheme="minorHAnsi" w:hAnsiTheme="minorHAnsi" w:cstheme="minorHAnsi"/>
          <w:color w:val="000000" w:themeColor="text1"/>
          <w:sz w:val="22"/>
          <w:szCs w:val="22"/>
        </w:rPr>
        <w:t xml:space="preserve">share </w:t>
      </w:r>
      <w:r w:rsidR="00C822F7">
        <w:rPr>
          <w:rStyle w:val="br"/>
          <w:rFonts w:asciiTheme="minorHAnsi" w:hAnsiTheme="minorHAnsi" w:cstheme="minorHAnsi"/>
          <w:color w:val="000000" w:themeColor="text1"/>
          <w:sz w:val="22"/>
          <w:szCs w:val="22"/>
        </w:rPr>
        <w:t xml:space="preserve">transactions, which have been disclosed by way of TR1 notifications, in particular, </w:t>
      </w:r>
      <w:r w:rsidRPr="00D573FE">
        <w:rPr>
          <w:rStyle w:val="br"/>
          <w:rFonts w:asciiTheme="minorHAnsi" w:hAnsiTheme="minorHAnsi" w:cstheme="minorHAnsi"/>
          <w:color w:val="000000" w:themeColor="text1"/>
          <w:sz w:val="22"/>
          <w:szCs w:val="22"/>
        </w:rPr>
        <w:t xml:space="preserve">transfers </w:t>
      </w:r>
      <w:r w:rsidR="00AB35C1">
        <w:rPr>
          <w:rStyle w:val="br"/>
          <w:rFonts w:asciiTheme="minorHAnsi" w:hAnsiTheme="minorHAnsi" w:cstheme="minorHAnsi"/>
          <w:color w:val="000000" w:themeColor="text1"/>
          <w:sz w:val="22"/>
          <w:szCs w:val="22"/>
        </w:rPr>
        <w:t>of the entire shareholdings of</w:t>
      </w:r>
      <w:r w:rsidRPr="00D573FE">
        <w:rPr>
          <w:rStyle w:val="br"/>
          <w:rFonts w:asciiTheme="minorHAnsi" w:hAnsiTheme="minorHAnsi" w:cstheme="minorHAnsi"/>
          <w:color w:val="000000" w:themeColor="text1"/>
          <w:sz w:val="22"/>
          <w:szCs w:val="22"/>
        </w:rPr>
        <w:t xml:space="preserve"> </w:t>
      </w:r>
      <w:proofErr w:type="spellStart"/>
      <w:r w:rsidRPr="00D573FE">
        <w:rPr>
          <w:rStyle w:val="br"/>
          <w:rFonts w:asciiTheme="minorHAnsi" w:hAnsiTheme="minorHAnsi" w:cstheme="minorHAnsi"/>
          <w:color w:val="000000" w:themeColor="text1"/>
          <w:sz w:val="22"/>
          <w:szCs w:val="22"/>
        </w:rPr>
        <w:t>Fermain</w:t>
      </w:r>
      <w:proofErr w:type="spellEnd"/>
      <w:r w:rsidRPr="00D573FE">
        <w:rPr>
          <w:rStyle w:val="br"/>
          <w:rFonts w:asciiTheme="minorHAnsi" w:hAnsiTheme="minorHAnsi" w:cstheme="minorHAnsi"/>
          <w:color w:val="000000" w:themeColor="text1"/>
          <w:sz w:val="22"/>
          <w:szCs w:val="22"/>
        </w:rPr>
        <w:t xml:space="preserve"> Limited and Haddon Corporation</w:t>
      </w:r>
      <w:r w:rsidR="00C540BE">
        <w:rPr>
          <w:rStyle w:val="br"/>
          <w:rFonts w:asciiTheme="minorHAnsi" w:hAnsiTheme="minorHAnsi" w:cstheme="minorHAnsi"/>
          <w:color w:val="000000" w:themeColor="text1"/>
          <w:sz w:val="22"/>
          <w:szCs w:val="22"/>
        </w:rPr>
        <w:t xml:space="preserve">, </w:t>
      </w:r>
      <w:r w:rsidR="00EF2896" w:rsidRPr="00D573FE">
        <w:rPr>
          <w:rStyle w:val="br"/>
          <w:rFonts w:asciiTheme="minorHAnsi" w:hAnsiTheme="minorHAnsi" w:cstheme="minorHAnsi"/>
          <w:color w:val="000000" w:themeColor="text1"/>
          <w:sz w:val="22"/>
          <w:szCs w:val="22"/>
        </w:rPr>
        <w:t xml:space="preserve">who held </w:t>
      </w:r>
      <w:r w:rsidR="00D573FE" w:rsidRPr="00D573FE">
        <w:rPr>
          <w:rStyle w:val="br"/>
          <w:rFonts w:asciiTheme="minorHAnsi" w:hAnsiTheme="minorHAnsi" w:cstheme="minorHAnsi"/>
          <w:color w:val="000000" w:themeColor="text1"/>
          <w:sz w:val="22"/>
          <w:szCs w:val="22"/>
        </w:rPr>
        <w:t xml:space="preserve">3,333,333 and </w:t>
      </w:r>
      <w:proofErr w:type="gramStart"/>
      <w:r w:rsidR="00EF2896" w:rsidRPr="00D573FE">
        <w:rPr>
          <w:rStyle w:val="br"/>
          <w:rFonts w:asciiTheme="minorHAnsi" w:hAnsiTheme="minorHAnsi" w:cstheme="minorHAnsi"/>
          <w:color w:val="000000" w:themeColor="text1"/>
          <w:sz w:val="22"/>
          <w:szCs w:val="22"/>
        </w:rPr>
        <w:t>3,416,667</w:t>
      </w:r>
      <w:proofErr w:type="gramEnd"/>
      <w:r w:rsidR="00D573FE" w:rsidRPr="00D573FE">
        <w:rPr>
          <w:rStyle w:val="br"/>
          <w:rFonts w:asciiTheme="minorHAnsi" w:hAnsiTheme="minorHAnsi" w:cstheme="minorHAnsi"/>
          <w:color w:val="000000" w:themeColor="text1"/>
          <w:sz w:val="22"/>
          <w:szCs w:val="22"/>
        </w:rPr>
        <w:t xml:space="preserve"> respectively.</w:t>
      </w:r>
      <w:r w:rsidR="00600E6B">
        <w:rPr>
          <w:rStyle w:val="br"/>
          <w:rFonts w:asciiTheme="minorHAnsi" w:hAnsiTheme="minorHAnsi" w:cstheme="minorHAnsi"/>
          <w:color w:val="000000" w:themeColor="text1"/>
          <w:sz w:val="22"/>
          <w:szCs w:val="22"/>
        </w:rPr>
        <w:t xml:space="preserve"> </w:t>
      </w:r>
      <w:r w:rsidR="00387BDC">
        <w:rPr>
          <w:rStyle w:val="br"/>
          <w:rFonts w:asciiTheme="minorHAnsi" w:hAnsiTheme="minorHAnsi" w:cstheme="minorHAnsi"/>
          <w:color w:val="000000" w:themeColor="text1"/>
          <w:sz w:val="22"/>
          <w:szCs w:val="22"/>
        </w:rPr>
        <w:t xml:space="preserve">The transfer by </w:t>
      </w:r>
      <w:proofErr w:type="spellStart"/>
      <w:r w:rsidR="00387BDC">
        <w:rPr>
          <w:rStyle w:val="br"/>
          <w:rFonts w:asciiTheme="minorHAnsi" w:hAnsiTheme="minorHAnsi" w:cstheme="minorHAnsi"/>
          <w:color w:val="000000" w:themeColor="text1"/>
          <w:sz w:val="22"/>
          <w:szCs w:val="22"/>
        </w:rPr>
        <w:t>Fermain</w:t>
      </w:r>
      <w:proofErr w:type="spellEnd"/>
      <w:r w:rsidR="00387BDC">
        <w:rPr>
          <w:rStyle w:val="br"/>
          <w:rFonts w:asciiTheme="minorHAnsi" w:hAnsiTheme="minorHAnsi" w:cstheme="minorHAnsi"/>
          <w:color w:val="000000" w:themeColor="text1"/>
          <w:sz w:val="22"/>
          <w:szCs w:val="22"/>
        </w:rPr>
        <w:t xml:space="preserve"> Limited, of which Roy Pitchford is a director, was undertaken as nominee for other beneficial owners.  </w:t>
      </w:r>
    </w:p>
    <w:p w14:paraId="340A8DFC" w14:textId="64CAC4F6" w:rsidR="008D7171" w:rsidRDefault="00D01065" w:rsidP="00397DF3">
      <w:pPr>
        <w:pStyle w:val="bu"/>
        <w:spacing w:before="0" w:beforeAutospacing="0"/>
        <w:jc w:val="both"/>
        <w:rPr>
          <w:rStyle w:val="br"/>
          <w:rFonts w:asciiTheme="minorHAnsi" w:hAnsiTheme="minorHAnsi" w:cstheme="minorHAnsi"/>
          <w:color w:val="000000" w:themeColor="text1"/>
          <w:sz w:val="22"/>
          <w:szCs w:val="22"/>
        </w:rPr>
      </w:pPr>
      <w:r>
        <w:rPr>
          <w:rStyle w:val="br"/>
          <w:rFonts w:asciiTheme="minorHAnsi" w:hAnsiTheme="minorHAnsi" w:cstheme="minorHAnsi"/>
          <w:color w:val="000000" w:themeColor="text1"/>
          <w:sz w:val="22"/>
          <w:szCs w:val="22"/>
        </w:rPr>
        <w:t xml:space="preserve">The table below provides the new </w:t>
      </w:r>
      <w:r w:rsidR="006156CF">
        <w:rPr>
          <w:rStyle w:val="br"/>
          <w:rFonts w:asciiTheme="minorHAnsi" w:hAnsiTheme="minorHAnsi" w:cstheme="minorHAnsi"/>
          <w:color w:val="000000" w:themeColor="text1"/>
          <w:sz w:val="22"/>
          <w:szCs w:val="22"/>
        </w:rPr>
        <w:t>disclosable shareholding</w:t>
      </w:r>
      <w:r w:rsidR="00C822F7">
        <w:rPr>
          <w:rStyle w:val="br"/>
          <w:rFonts w:asciiTheme="minorHAnsi" w:hAnsiTheme="minorHAnsi" w:cstheme="minorHAnsi"/>
          <w:color w:val="000000" w:themeColor="text1"/>
          <w:sz w:val="22"/>
          <w:szCs w:val="22"/>
        </w:rPr>
        <w:t>s</w:t>
      </w:r>
      <w:r w:rsidR="00AB35C1">
        <w:rPr>
          <w:rStyle w:val="br"/>
          <w:rFonts w:asciiTheme="minorHAnsi" w:hAnsiTheme="minorHAnsi" w:cstheme="minorHAnsi"/>
          <w:color w:val="000000" w:themeColor="text1"/>
          <w:sz w:val="22"/>
          <w:szCs w:val="22"/>
        </w:rPr>
        <w:t xml:space="preserve"> </w:t>
      </w:r>
      <w:r w:rsidR="00C822F7">
        <w:rPr>
          <w:rStyle w:val="br"/>
          <w:rFonts w:asciiTheme="minorHAnsi" w:hAnsiTheme="minorHAnsi" w:cstheme="minorHAnsi"/>
          <w:color w:val="000000" w:themeColor="text1"/>
          <w:sz w:val="22"/>
          <w:szCs w:val="22"/>
        </w:rPr>
        <w:t>as made aware to the Company</w:t>
      </w:r>
      <w:r w:rsidR="006156CF">
        <w:rPr>
          <w:rStyle w:val="br"/>
          <w:rFonts w:asciiTheme="minorHAnsi" w:hAnsiTheme="minorHAnsi" w:cstheme="minorHAnsi"/>
          <w:color w:val="000000" w:themeColor="text1"/>
          <w:sz w:val="22"/>
          <w:szCs w:val="22"/>
        </w:rPr>
        <w:t>:</w:t>
      </w:r>
    </w:p>
    <w:p w14:paraId="2BDC864B" w14:textId="77777777" w:rsidR="007141CF" w:rsidRPr="00E17873" w:rsidRDefault="007141CF" w:rsidP="00E17873">
      <w:pPr>
        <w:pStyle w:val="NormalWeb"/>
        <w:shd w:val="clear" w:color="auto" w:fill="FFFFFF"/>
        <w:spacing w:before="0" w:beforeAutospacing="0" w:after="0" w:afterAutospacing="0" w:line="360" w:lineRule="atLeast"/>
        <w:rPr>
          <w:rStyle w:val="br"/>
          <w:color w:val="000000"/>
          <w:shd w:val="clear" w:color="auto" w:fill="FFFFFF"/>
        </w:rPr>
      </w:pPr>
    </w:p>
    <w:tbl>
      <w:tblPr>
        <w:tblW w:w="0" w:type="auto"/>
        <w:tblLook w:val="04A0" w:firstRow="1" w:lastRow="0" w:firstColumn="1" w:lastColumn="0" w:noHBand="0" w:noVBand="1"/>
      </w:tblPr>
      <w:tblGrid>
        <w:gridCol w:w="3439"/>
        <w:gridCol w:w="1554"/>
        <w:gridCol w:w="875"/>
      </w:tblGrid>
      <w:tr w:rsidR="00BC0688" w:rsidRPr="00BC0688" w14:paraId="211DFDD4" w14:textId="77777777" w:rsidTr="00BC0688">
        <w:trPr>
          <w:trHeight w:val="300"/>
        </w:trPr>
        <w:tc>
          <w:tcPr>
            <w:tcW w:w="0" w:type="auto"/>
            <w:tcBorders>
              <w:top w:val="nil"/>
              <w:left w:val="nil"/>
              <w:bottom w:val="single" w:sz="4" w:space="0" w:color="auto"/>
              <w:right w:val="single" w:sz="4" w:space="0" w:color="auto"/>
            </w:tcBorders>
            <w:shd w:val="clear" w:color="auto" w:fill="auto"/>
            <w:noWrap/>
            <w:vAlign w:val="bottom"/>
            <w:hideMark/>
          </w:tcPr>
          <w:p w14:paraId="5ADE9842" w14:textId="77777777" w:rsidR="00BC0688" w:rsidRPr="00BC0688" w:rsidRDefault="00BC0688" w:rsidP="00BC0688">
            <w:pPr>
              <w:spacing w:after="0" w:line="240" w:lineRule="auto"/>
              <w:rPr>
                <w:rFonts w:ascii="Calibri" w:eastAsia="Times New Roman" w:hAnsi="Calibri" w:cs="Calibri"/>
                <w:color w:val="000000"/>
                <w:lang w:eastAsia="en-GB"/>
              </w:rPr>
            </w:pPr>
            <w:r w:rsidRPr="00BC0688">
              <w:rPr>
                <w:rFonts w:ascii="Calibri" w:eastAsia="Times New Roman" w:hAnsi="Calibri" w:cs="Calibri"/>
                <w:color w:val="000000"/>
                <w:lang w:eastAsia="en-GB"/>
              </w:rPr>
              <w:t>Shareholder</w:t>
            </w:r>
          </w:p>
        </w:tc>
        <w:tc>
          <w:tcPr>
            <w:tcW w:w="0" w:type="auto"/>
            <w:tcBorders>
              <w:top w:val="nil"/>
              <w:left w:val="single" w:sz="4" w:space="0" w:color="auto"/>
              <w:bottom w:val="single" w:sz="4" w:space="0" w:color="auto"/>
              <w:right w:val="nil"/>
            </w:tcBorders>
            <w:shd w:val="clear" w:color="auto" w:fill="auto"/>
            <w:noWrap/>
            <w:vAlign w:val="bottom"/>
            <w:hideMark/>
          </w:tcPr>
          <w:p w14:paraId="2884070D" w14:textId="77777777" w:rsidR="00BC0688" w:rsidRPr="00BC0688" w:rsidRDefault="00BC0688" w:rsidP="00BC0688">
            <w:pPr>
              <w:spacing w:after="0" w:line="240" w:lineRule="auto"/>
              <w:rPr>
                <w:rFonts w:ascii="Calibri" w:eastAsia="Times New Roman" w:hAnsi="Calibri" w:cs="Calibri"/>
                <w:color w:val="000000"/>
                <w:lang w:eastAsia="en-GB"/>
              </w:rPr>
            </w:pPr>
            <w:r w:rsidRPr="00BC0688">
              <w:rPr>
                <w:rFonts w:ascii="Calibri" w:eastAsia="Times New Roman" w:hAnsi="Calibri" w:cs="Calibri"/>
                <w:color w:val="000000"/>
                <w:lang w:eastAsia="en-GB"/>
              </w:rPr>
              <w:t>Shares</w:t>
            </w:r>
          </w:p>
        </w:tc>
        <w:tc>
          <w:tcPr>
            <w:tcW w:w="0" w:type="auto"/>
            <w:tcBorders>
              <w:top w:val="nil"/>
              <w:left w:val="nil"/>
              <w:bottom w:val="single" w:sz="4" w:space="0" w:color="auto"/>
              <w:right w:val="nil"/>
            </w:tcBorders>
            <w:shd w:val="clear" w:color="auto" w:fill="auto"/>
            <w:noWrap/>
            <w:vAlign w:val="bottom"/>
            <w:hideMark/>
          </w:tcPr>
          <w:p w14:paraId="6C0F46DA" w14:textId="77777777" w:rsidR="00BC0688" w:rsidRPr="00BC0688" w:rsidRDefault="00BC0688" w:rsidP="00BC0688">
            <w:pPr>
              <w:spacing w:after="0" w:line="240" w:lineRule="auto"/>
              <w:rPr>
                <w:rFonts w:ascii="Calibri" w:eastAsia="Times New Roman" w:hAnsi="Calibri" w:cs="Calibri"/>
                <w:color w:val="000000"/>
                <w:lang w:eastAsia="en-GB"/>
              </w:rPr>
            </w:pPr>
            <w:r w:rsidRPr="00BC0688">
              <w:rPr>
                <w:rFonts w:ascii="Calibri" w:eastAsia="Times New Roman" w:hAnsi="Calibri" w:cs="Calibri"/>
                <w:color w:val="000000"/>
                <w:lang w:eastAsia="en-GB"/>
              </w:rPr>
              <w:t>%</w:t>
            </w:r>
          </w:p>
        </w:tc>
      </w:tr>
      <w:tr w:rsidR="00B07A8B" w:rsidRPr="00BC0688" w14:paraId="31F5CD76" w14:textId="77777777" w:rsidTr="00BC0688">
        <w:trPr>
          <w:trHeight w:val="300"/>
        </w:trPr>
        <w:tc>
          <w:tcPr>
            <w:tcW w:w="0" w:type="auto"/>
            <w:tcBorders>
              <w:top w:val="single" w:sz="4" w:space="0" w:color="auto"/>
              <w:left w:val="nil"/>
              <w:bottom w:val="nil"/>
              <w:right w:val="single" w:sz="4" w:space="0" w:color="auto"/>
            </w:tcBorders>
            <w:shd w:val="clear" w:color="auto" w:fill="auto"/>
            <w:noWrap/>
            <w:vAlign w:val="bottom"/>
            <w:hideMark/>
          </w:tcPr>
          <w:p w14:paraId="169F5F65" w14:textId="483EB20C"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Covalent Energy International Inc</w:t>
            </w:r>
          </w:p>
        </w:tc>
        <w:tc>
          <w:tcPr>
            <w:tcW w:w="0" w:type="auto"/>
            <w:tcBorders>
              <w:top w:val="single" w:sz="4" w:space="0" w:color="auto"/>
              <w:left w:val="single" w:sz="4" w:space="0" w:color="auto"/>
              <w:bottom w:val="nil"/>
              <w:right w:val="nil"/>
            </w:tcBorders>
            <w:shd w:val="clear" w:color="auto" w:fill="auto"/>
            <w:noWrap/>
            <w:vAlign w:val="bottom"/>
            <w:hideMark/>
          </w:tcPr>
          <w:p w14:paraId="7B1B7410" w14:textId="6A8F4A1B"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8,666,667 </w:t>
            </w:r>
          </w:p>
        </w:tc>
        <w:tc>
          <w:tcPr>
            <w:tcW w:w="0" w:type="auto"/>
            <w:tcBorders>
              <w:top w:val="single" w:sz="4" w:space="0" w:color="auto"/>
              <w:left w:val="nil"/>
              <w:bottom w:val="nil"/>
              <w:right w:val="nil"/>
            </w:tcBorders>
            <w:shd w:val="clear" w:color="auto" w:fill="auto"/>
            <w:noWrap/>
            <w:vAlign w:val="bottom"/>
            <w:hideMark/>
          </w:tcPr>
          <w:p w14:paraId="674089DD" w14:textId="1CE2B78C"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27.04%</w:t>
            </w:r>
          </w:p>
        </w:tc>
      </w:tr>
      <w:tr w:rsidR="00B07A8B" w:rsidRPr="00BC0688" w14:paraId="2202FC44"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3DD7EA1B" w14:textId="1103FA5D"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Robert Allen </w:t>
            </w:r>
            <w:proofErr w:type="spellStart"/>
            <w:r>
              <w:rPr>
                <w:rFonts w:ascii="Calibri" w:hAnsi="Calibri" w:cs="Calibri"/>
                <w:color w:val="000000"/>
              </w:rPr>
              <w:t>Papiri</w:t>
            </w:r>
            <w:proofErr w:type="spellEnd"/>
          </w:p>
        </w:tc>
        <w:tc>
          <w:tcPr>
            <w:tcW w:w="0" w:type="auto"/>
            <w:tcBorders>
              <w:top w:val="nil"/>
              <w:left w:val="single" w:sz="4" w:space="0" w:color="auto"/>
              <w:bottom w:val="nil"/>
              <w:right w:val="nil"/>
            </w:tcBorders>
            <w:shd w:val="clear" w:color="auto" w:fill="auto"/>
            <w:noWrap/>
            <w:vAlign w:val="bottom"/>
            <w:hideMark/>
          </w:tcPr>
          <w:p w14:paraId="1F3CD72A" w14:textId="385FABC1"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3,279,800 </w:t>
            </w:r>
          </w:p>
        </w:tc>
        <w:tc>
          <w:tcPr>
            <w:tcW w:w="0" w:type="auto"/>
            <w:tcBorders>
              <w:top w:val="nil"/>
              <w:left w:val="nil"/>
              <w:bottom w:val="nil"/>
              <w:right w:val="nil"/>
            </w:tcBorders>
            <w:shd w:val="clear" w:color="auto" w:fill="auto"/>
            <w:noWrap/>
            <w:vAlign w:val="bottom"/>
            <w:hideMark/>
          </w:tcPr>
          <w:p w14:paraId="7C17396D" w14:textId="275126CC"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10.23%</w:t>
            </w:r>
          </w:p>
        </w:tc>
      </w:tr>
      <w:tr w:rsidR="00B07A8B" w:rsidRPr="00BC0688" w14:paraId="13B1B5AF"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6794854E" w14:textId="086DECB4"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Moshe Capital</w:t>
            </w:r>
          </w:p>
        </w:tc>
        <w:tc>
          <w:tcPr>
            <w:tcW w:w="0" w:type="auto"/>
            <w:tcBorders>
              <w:top w:val="nil"/>
              <w:left w:val="single" w:sz="4" w:space="0" w:color="auto"/>
              <w:bottom w:val="nil"/>
              <w:right w:val="nil"/>
            </w:tcBorders>
            <w:shd w:val="clear" w:color="auto" w:fill="auto"/>
            <w:noWrap/>
            <w:vAlign w:val="bottom"/>
            <w:hideMark/>
          </w:tcPr>
          <w:p w14:paraId="47CB01EA" w14:textId="337677AB"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3,200,000 </w:t>
            </w:r>
          </w:p>
        </w:tc>
        <w:tc>
          <w:tcPr>
            <w:tcW w:w="0" w:type="auto"/>
            <w:tcBorders>
              <w:top w:val="nil"/>
              <w:left w:val="nil"/>
              <w:bottom w:val="nil"/>
              <w:right w:val="nil"/>
            </w:tcBorders>
            <w:shd w:val="clear" w:color="auto" w:fill="auto"/>
            <w:noWrap/>
            <w:vAlign w:val="bottom"/>
            <w:hideMark/>
          </w:tcPr>
          <w:p w14:paraId="52153C28" w14:textId="55450FEF"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9.98%</w:t>
            </w:r>
          </w:p>
        </w:tc>
      </w:tr>
      <w:tr w:rsidR="00B07A8B" w:rsidRPr="00BC0688" w14:paraId="4C000F92"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2393A450" w14:textId="57B77945"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Michael Sobeck</w:t>
            </w:r>
          </w:p>
        </w:tc>
        <w:tc>
          <w:tcPr>
            <w:tcW w:w="0" w:type="auto"/>
            <w:tcBorders>
              <w:top w:val="nil"/>
              <w:left w:val="single" w:sz="4" w:space="0" w:color="auto"/>
              <w:bottom w:val="nil"/>
              <w:right w:val="nil"/>
            </w:tcBorders>
            <w:shd w:val="clear" w:color="auto" w:fill="auto"/>
            <w:noWrap/>
            <w:vAlign w:val="bottom"/>
            <w:hideMark/>
          </w:tcPr>
          <w:p w14:paraId="72134B34" w14:textId="00976A81"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2,522,877 </w:t>
            </w:r>
          </w:p>
        </w:tc>
        <w:tc>
          <w:tcPr>
            <w:tcW w:w="0" w:type="auto"/>
            <w:tcBorders>
              <w:top w:val="nil"/>
              <w:left w:val="nil"/>
              <w:bottom w:val="nil"/>
              <w:right w:val="nil"/>
            </w:tcBorders>
            <w:shd w:val="clear" w:color="auto" w:fill="auto"/>
            <w:noWrap/>
            <w:vAlign w:val="bottom"/>
            <w:hideMark/>
          </w:tcPr>
          <w:p w14:paraId="6939084B" w14:textId="0F1C25BF"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7.87%</w:t>
            </w:r>
          </w:p>
        </w:tc>
      </w:tr>
      <w:tr w:rsidR="00B07A8B" w:rsidRPr="00BC0688" w14:paraId="5BEE7ED6"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39622437" w14:textId="5942B86A"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Christopher </w:t>
            </w:r>
            <w:proofErr w:type="spellStart"/>
            <w:r>
              <w:rPr>
                <w:rFonts w:ascii="Calibri" w:hAnsi="Calibri" w:cs="Calibri"/>
                <w:color w:val="000000"/>
              </w:rPr>
              <w:t>Latilla</w:t>
            </w:r>
            <w:proofErr w:type="spellEnd"/>
            <w:r>
              <w:rPr>
                <w:rFonts w:ascii="Calibri" w:hAnsi="Calibri" w:cs="Calibri"/>
                <w:color w:val="000000"/>
              </w:rPr>
              <w:t>-Campbell</w:t>
            </w:r>
          </w:p>
        </w:tc>
        <w:tc>
          <w:tcPr>
            <w:tcW w:w="0" w:type="auto"/>
            <w:tcBorders>
              <w:top w:val="nil"/>
              <w:left w:val="single" w:sz="4" w:space="0" w:color="auto"/>
              <w:bottom w:val="nil"/>
              <w:right w:val="nil"/>
            </w:tcBorders>
            <w:shd w:val="clear" w:color="auto" w:fill="auto"/>
            <w:noWrap/>
            <w:vAlign w:val="bottom"/>
            <w:hideMark/>
          </w:tcPr>
          <w:p w14:paraId="05141319" w14:textId="5A7E6B8B"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1,250,000 </w:t>
            </w:r>
          </w:p>
        </w:tc>
        <w:tc>
          <w:tcPr>
            <w:tcW w:w="0" w:type="auto"/>
            <w:tcBorders>
              <w:top w:val="nil"/>
              <w:left w:val="nil"/>
              <w:bottom w:val="nil"/>
              <w:right w:val="nil"/>
            </w:tcBorders>
            <w:shd w:val="clear" w:color="auto" w:fill="auto"/>
            <w:noWrap/>
            <w:vAlign w:val="bottom"/>
            <w:hideMark/>
          </w:tcPr>
          <w:p w14:paraId="6E2D53A3" w14:textId="2D932C1B"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3.90%</w:t>
            </w:r>
          </w:p>
        </w:tc>
      </w:tr>
      <w:tr w:rsidR="00B07A8B" w:rsidRPr="00BC0688" w14:paraId="050C8D10"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6784C3DD" w14:textId="3359911F"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VSA Capital Private Investments PLC</w:t>
            </w:r>
          </w:p>
        </w:tc>
        <w:tc>
          <w:tcPr>
            <w:tcW w:w="0" w:type="auto"/>
            <w:tcBorders>
              <w:top w:val="nil"/>
              <w:left w:val="single" w:sz="4" w:space="0" w:color="auto"/>
              <w:bottom w:val="nil"/>
              <w:right w:val="nil"/>
            </w:tcBorders>
            <w:shd w:val="clear" w:color="auto" w:fill="auto"/>
            <w:noWrap/>
            <w:vAlign w:val="bottom"/>
            <w:hideMark/>
          </w:tcPr>
          <w:p w14:paraId="6B5AD33E" w14:textId="25E5B551"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1,177,061 </w:t>
            </w:r>
          </w:p>
        </w:tc>
        <w:tc>
          <w:tcPr>
            <w:tcW w:w="0" w:type="auto"/>
            <w:tcBorders>
              <w:top w:val="nil"/>
              <w:left w:val="nil"/>
              <w:bottom w:val="nil"/>
              <w:right w:val="nil"/>
            </w:tcBorders>
            <w:shd w:val="clear" w:color="auto" w:fill="auto"/>
            <w:noWrap/>
            <w:vAlign w:val="bottom"/>
            <w:hideMark/>
          </w:tcPr>
          <w:p w14:paraId="1666E930" w14:textId="0995C0D2"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3.67%</w:t>
            </w:r>
          </w:p>
        </w:tc>
      </w:tr>
      <w:tr w:rsidR="00B07A8B" w:rsidRPr="00BC0688" w14:paraId="03B1623D"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4D8C623F" w14:textId="5F9ABC79"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Matthew Bonner</w:t>
            </w:r>
          </w:p>
        </w:tc>
        <w:tc>
          <w:tcPr>
            <w:tcW w:w="0" w:type="auto"/>
            <w:tcBorders>
              <w:top w:val="nil"/>
              <w:left w:val="single" w:sz="4" w:space="0" w:color="auto"/>
              <w:bottom w:val="nil"/>
              <w:right w:val="nil"/>
            </w:tcBorders>
            <w:shd w:val="clear" w:color="auto" w:fill="auto"/>
            <w:noWrap/>
            <w:vAlign w:val="bottom"/>
            <w:hideMark/>
          </w:tcPr>
          <w:p w14:paraId="1DA1F703" w14:textId="24FFF4D8"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1,100,000 </w:t>
            </w:r>
          </w:p>
        </w:tc>
        <w:tc>
          <w:tcPr>
            <w:tcW w:w="0" w:type="auto"/>
            <w:tcBorders>
              <w:top w:val="nil"/>
              <w:left w:val="nil"/>
              <w:bottom w:val="nil"/>
              <w:right w:val="nil"/>
            </w:tcBorders>
            <w:shd w:val="clear" w:color="auto" w:fill="auto"/>
            <w:noWrap/>
            <w:vAlign w:val="bottom"/>
            <w:hideMark/>
          </w:tcPr>
          <w:p w14:paraId="698DE5AF" w14:textId="40275D6D"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3.43%</w:t>
            </w:r>
          </w:p>
        </w:tc>
      </w:tr>
      <w:tr w:rsidR="00B07A8B" w:rsidRPr="00BC0688" w14:paraId="76E2A418"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471274B5" w14:textId="186E52F4"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Paul Welker</w:t>
            </w:r>
          </w:p>
        </w:tc>
        <w:tc>
          <w:tcPr>
            <w:tcW w:w="0" w:type="auto"/>
            <w:tcBorders>
              <w:top w:val="nil"/>
              <w:left w:val="single" w:sz="4" w:space="0" w:color="auto"/>
              <w:bottom w:val="nil"/>
              <w:right w:val="nil"/>
            </w:tcBorders>
            <w:shd w:val="clear" w:color="auto" w:fill="auto"/>
            <w:noWrap/>
            <w:vAlign w:val="bottom"/>
            <w:hideMark/>
          </w:tcPr>
          <w:p w14:paraId="2A142696" w14:textId="1B8DA2B1"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1,100,000 </w:t>
            </w:r>
          </w:p>
        </w:tc>
        <w:tc>
          <w:tcPr>
            <w:tcW w:w="0" w:type="auto"/>
            <w:tcBorders>
              <w:top w:val="nil"/>
              <w:left w:val="nil"/>
              <w:bottom w:val="nil"/>
              <w:right w:val="nil"/>
            </w:tcBorders>
            <w:shd w:val="clear" w:color="auto" w:fill="auto"/>
            <w:noWrap/>
            <w:vAlign w:val="bottom"/>
            <w:hideMark/>
          </w:tcPr>
          <w:p w14:paraId="6219125F" w14:textId="60155844"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3.43%</w:t>
            </w:r>
          </w:p>
        </w:tc>
      </w:tr>
      <w:tr w:rsidR="00B07A8B" w:rsidRPr="00BC0688" w14:paraId="518A5E92" w14:textId="77777777" w:rsidTr="00BC0688">
        <w:trPr>
          <w:trHeight w:val="300"/>
        </w:trPr>
        <w:tc>
          <w:tcPr>
            <w:tcW w:w="0" w:type="auto"/>
            <w:tcBorders>
              <w:top w:val="nil"/>
              <w:left w:val="nil"/>
              <w:bottom w:val="nil"/>
              <w:right w:val="single" w:sz="4" w:space="0" w:color="auto"/>
            </w:tcBorders>
            <w:shd w:val="clear" w:color="auto" w:fill="auto"/>
            <w:noWrap/>
            <w:vAlign w:val="bottom"/>
            <w:hideMark/>
          </w:tcPr>
          <w:p w14:paraId="6FBE27E6" w14:textId="3DC3E5F9"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Eric Dyer</w:t>
            </w:r>
          </w:p>
        </w:tc>
        <w:tc>
          <w:tcPr>
            <w:tcW w:w="0" w:type="auto"/>
            <w:tcBorders>
              <w:top w:val="nil"/>
              <w:left w:val="single" w:sz="4" w:space="0" w:color="auto"/>
              <w:bottom w:val="nil"/>
              <w:right w:val="nil"/>
            </w:tcBorders>
            <w:shd w:val="clear" w:color="auto" w:fill="auto"/>
            <w:noWrap/>
            <w:vAlign w:val="bottom"/>
            <w:hideMark/>
          </w:tcPr>
          <w:p w14:paraId="6D0D9412" w14:textId="6667DB8F" w:rsidR="00B07A8B" w:rsidRPr="00BC0688" w:rsidRDefault="00B07A8B" w:rsidP="00B07A8B">
            <w:pPr>
              <w:spacing w:after="0" w:line="240" w:lineRule="auto"/>
              <w:rPr>
                <w:rFonts w:ascii="Calibri" w:eastAsia="Times New Roman" w:hAnsi="Calibri" w:cs="Calibri"/>
                <w:color w:val="000000"/>
                <w:lang w:eastAsia="en-GB"/>
              </w:rPr>
            </w:pPr>
            <w:r>
              <w:rPr>
                <w:rFonts w:ascii="Calibri" w:hAnsi="Calibri" w:cs="Calibri"/>
                <w:color w:val="000000"/>
              </w:rPr>
              <w:t xml:space="preserve">         1,000,000 </w:t>
            </w:r>
          </w:p>
        </w:tc>
        <w:tc>
          <w:tcPr>
            <w:tcW w:w="0" w:type="auto"/>
            <w:tcBorders>
              <w:top w:val="nil"/>
              <w:left w:val="nil"/>
              <w:bottom w:val="nil"/>
              <w:right w:val="nil"/>
            </w:tcBorders>
            <w:shd w:val="clear" w:color="auto" w:fill="auto"/>
            <w:noWrap/>
            <w:vAlign w:val="bottom"/>
            <w:hideMark/>
          </w:tcPr>
          <w:p w14:paraId="3CF65792" w14:textId="083FFF97" w:rsidR="00B07A8B" w:rsidRPr="00BC0688" w:rsidRDefault="00B07A8B" w:rsidP="00B07A8B">
            <w:pPr>
              <w:spacing w:after="0" w:line="240" w:lineRule="auto"/>
              <w:jc w:val="right"/>
              <w:rPr>
                <w:rFonts w:ascii="Calibri" w:eastAsia="Times New Roman" w:hAnsi="Calibri" w:cs="Calibri"/>
                <w:color w:val="000000"/>
                <w:lang w:eastAsia="en-GB"/>
              </w:rPr>
            </w:pPr>
            <w:r>
              <w:rPr>
                <w:rFonts w:ascii="Calibri" w:hAnsi="Calibri" w:cs="Calibri"/>
                <w:color w:val="000000"/>
              </w:rPr>
              <w:t>3.12%</w:t>
            </w:r>
          </w:p>
        </w:tc>
      </w:tr>
    </w:tbl>
    <w:p w14:paraId="0502BF72" w14:textId="539CA283" w:rsidR="006156CF" w:rsidRDefault="006156CF" w:rsidP="00316722">
      <w:pPr>
        <w:pStyle w:val="bu"/>
        <w:spacing w:before="0" w:beforeAutospacing="0"/>
        <w:jc w:val="both"/>
        <w:rPr>
          <w:rStyle w:val="br"/>
          <w:rFonts w:asciiTheme="minorHAnsi" w:hAnsiTheme="minorHAnsi" w:cstheme="minorHAnsi"/>
          <w:color w:val="000000" w:themeColor="text1"/>
          <w:sz w:val="22"/>
          <w:szCs w:val="22"/>
        </w:rPr>
      </w:pPr>
    </w:p>
    <w:p w14:paraId="3B135EF2" w14:textId="725A17F3" w:rsidR="006A0E2B" w:rsidRDefault="00C8018B" w:rsidP="00316722">
      <w:pPr>
        <w:pStyle w:val="bu"/>
        <w:spacing w:before="0" w:beforeAutospacing="0"/>
        <w:jc w:val="both"/>
        <w:rPr>
          <w:rStyle w:val="br"/>
          <w:rFonts w:asciiTheme="minorHAnsi" w:hAnsiTheme="minorHAnsi" w:cstheme="minorHAnsi"/>
          <w:color w:val="000000" w:themeColor="text1"/>
          <w:sz w:val="22"/>
          <w:szCs w:val="22"/>
        </w:rPr>
      </w:pPr>
      <w:r>
        <w:rPr>
          <w:rStyle w:val="br"/>
          <w:rFonts w:asciiTheme="minorHAnsi" w:hAnsiTheme="minorHAnsi" w:cstheme="minorHAnsi"/>
          <w:color w:val="000000" w:themeColor="text1"/>
          <w:sz w:val="22"/>
          <w:szCs w:val="22"/>
        </w:rPr>
        <w:t xml:space="preserve">Note: </w:t>
      </w:r>
      <w:r w:rsidR="001B3853" w:rsidRPr="00B76DD5">
        <w:rPr>
          <w:rStyle w:val="br"/>
          <w:rFonts w:asciiTheme="minorHAnsi" w:hAnsiTheme="minorHAnsi" w:cstheme="minorHAnsi"/>
          <w:color w:val="000000" w:themeColor="text1"/>
          <w:sz w:val="22"/>
          <w:szCs w:val="22"/>
        </w:rPr>
        <w:t>Tangiers Investment Group LLC, a company</w:t>
      </w:r>
      <w:r w:rsidRPr="00B76DD5">
        <w:rPr>
          <w:rStyle w:val="br"/>
          <w:rFonts w:asciiTheme="minorHAnsi" w:hAnsiTheme="minorHAnsi" w:cstheme="minorHAnsi"/>
          <w:color w:val="000000" w:themeColor="text1"/>
          <w:sz w:val="22"/>
          <w:szCs w:val="22"/>
        </w:rPr>
        <w:t>,</w:t>
      </w:r>
      <w:r w:rsidR="001B3853" w:rsidRPr="00B76DD5">
        <w:rPr>
          <w:rStyle w:val="br"/>
          <w:rFonts w:asciiTheme="minorHAnsi" w:hAnsiTheme="minorHAnsi" w:cstheme="minorHAnsi"/>
          <w:color w:val="000000" w:themeColor="text1"/>
          <w:sz w:val="22"/>
          <w:szCs w:val="22"/>
        </w:rPr>
        <w:t xml:space="preserve"> </w:t>
      </w:r>
      <w:r w:rsidRPr="00B76DD5">
        <w:rPr>
          <w:rStyle w:val="br"/>
          <w:rFonts w:asciiTheme="minorHAnsi" w:hAnsiTheme="minorHAnsi" w:cstheme="minorHAnsi"/>
          <w:color w:val="000000" w:themeColor="text1"/>
          <w:sz w:val="22"/>
          <w:szCs w:val="22"/>
        </w:rPr>
        <w:t xml:space="preserve">of which both </w:t>
      </w:r>
      <w:r w:rsidR="001B3853" w:rsidRPr="00B76DD5">
        <w:rPr>
          <w:rStyle w:val="br"/>
          <w:rFonts w:asciiTheme="minorHAnsi" w:hAnsiTheme="minorHAnsi" w:cstheme="minorHAnsi"/>
          <w:color w:val="000000" w:themeColor="text1"/>
          <w:sz w:val="22"/>
          <w:szCs w:val="22"/>
        </w:rPr>
        <w:t xml:space="preserve">Mr </w:t>
      </w:r>
      <w:proofErr w:type="spellStart"/>
      <w:r w:rsidR="001C6CBE" w:rsidRPr="00B76DD5">
        <w:rPr>
          <w:rStyle w:val="br"/>
          <w:rFonts w:asciiTheme="minorHAnsi" w:hAnsiTheme="minorHAnsi" w:cstheme="minorHAnsi"/>
          <w:color w:val="000000" w:themeColor="text1"/>
          <w:sz w:val="22"/>
          <w:szCs w:val="22"/>
        </w:rPr>
        <w:t>Papiri</w:t>
      </w:r>
      <w:proofErr w:type="spellEnd"/>
      <w:r w:rsidR="001C6CBE" w:rsidRPr="00B76DD5">
        <w:rPr>
          <w:rStyle w:val="br"/>
          <w:rFonts w:asciiTheme="minorHAnsi" w:hAnsiTheme="minorHAnsi" w:cstheme="minorHAnsi"/>
          <w:color w:val="000000" w:themeColor="text1"/>
          <w:sz w:val="22"/>
          <w:szCs w:val="22"/>
        </w:rPr>
        <w:t xml:space="preserve"> and</w:t>
      </w:r>
      <w:r w:rsidR="001B3853" w:rsidRPr="00B76DD5">
        <w:rPr>
          <w:rStyle w:val="br"/>
          <w:rFonts w:asciiTheme="minorHAnsi" w:hAnsiTheme="minorHAnsi" w:cstheme="minorHAnsi"/>
          <w:color w:val="000000" w:themeColor="text1"/>
          <w:sz w:val="22"/>
          <w:szCs w:val="22"/>
        </w:rPr>
        <w:t xml:space="preserve"> Mr Sobeck</w:t>
      </w:r>
      <w:r w:rsidRPr="00B76DD5">
        <w:rPr>
          <w:rStyle w:val="br"/>
          <w:rFonts w:asciiTheme="minorHAnsi" w:hAnsiTheme="minorHAnsi" w:cstheme="minorHAnsi"/>
          <w:color w:val="000000" w:themeColor="text1"/>
          <w:sz w:val="22"/>
          <w:szCs w:val="22"/>
        </w:rPr>
        <w:t xml:space="preserve"> are members</w:t>
      </w:r>
      <w:r w:rsidR="001B3853" w:rsidRPr="00B76DD5">
        <w:rPr>
          <w:rStyle w:val="br"/>
          <w:rFonts w:asciiTheme="minorHAnsi" w:hAnsiTheme="minorHAnsi" w:cstheme="minorHAnsi"/>
          <w:color w:val="000000" w:themeColor="text1"/>
          <w:sz w:val="22"/>
          <w:szCs w:val="22"/>
        </w:rPr>
        <w:t xml:space="preserve">, </w:t>
      </w:r>
      <w:r w:rsidR="00B76DD5">
        <w:rPr>
          <w:rStyle w:val="br"/>
          <w:rFonts w:asciiTheme="minorHAnsi" w:hAnsiTheme="minorHAnsi" w:cstheme="minorHAnsi"/>
          <w:color w:val="000000" w:themeColor="text1"/>
          <w:sz w:val="22"/>
          <w:szCs w:val="22"/>
        </w:rPr>
        <w:t xml:space="preserve">also </w:t>
      </w:r>
      <w:r w:rsidR="001B3853" w:rsidRPr="00B76DD5">
        <w:rPr>
          <w:rStyle w:val="br"/>
          <w:rFonts w:asciiTheme="minorHAnsi" w:hAnsiTheme="minorHAnsi" w:cstheme="minorHAnsi"/>
          <w:color w:val="000000" w:themeColor="text1"/>
          <w:sz w:val="22"/>
          <w:szCs w:val="22"/>
        </w:rPr>
        <w:t xml:space="preserve">has a shareholding of </w:t>
      </w:r>
      <w:r w:rsidR="001C6CBE" w:rsidRPr="00B76DD5">
        <w:rPr>
          <w:rStyle w:val="br"/>
          <w:rFonts w:asciiTheme="minorHAnsi" w:hAnsiTheme="minorHAnsi" w:cstheme="minorHAnsi"/>
          <w:color w:val="000000" w:themeColor="text1"/>
          <w:sz w:val="22"/>
          <w:szCs w:val="22"/>
        </w:rPr>
        <w:t>947</w:t>
      </w:r>
      <w:r w:rsidR="00B76DD5">
        <w:rPr>
          <w:rStyle w:val="br"/>
          <w:rFonts w:asciiTheme="minorHAnsi" w:hAnsiTheme="minorHAnsi" w:cstheme="minorHAnsi"/>
          <w:color w:val="000000" w:themeColor="text1"/>
          <w:sz w:val="22"/>
          <w:szCs w:val="22"/>
        </w:rPr>
        <w:t>,</w:t>
      </w:r>
      <w:r w:rsidR="001C6CBE" w:rsidRPr="00B76DD5">
        <w:rPr>
          <w:rStyle w:val="br"/>
          <w:rFonts w:asciiTheme="minorHAnsi" w:hAnsiTheme="minorHAnsi" w:cstheme="minorHAnsi"/>
          <w:color w:val="000000" w:themeColor="text1"/>
          <w:sz w:val="22"/>
          <w:szCs w:val="22"/>
        </w:rPr>
        <w:t>323</w:t>
      </w:r>
      <w:r w:rsidR="00923915">
        <w:rPr>
          <w:rStyle w:val="br"/>
          <w:rFonts w:asciiTheme="minorHAnsi" w:hAnsiTheme="minorHAnsi" w:cstheme="minorHAnsi"/>
          <w:color w:val="000000" w:themeColor="text1"/>
          <w:sz w:val="22"/>
          <w:szCs w:val="22"/>
        </w:rPr>
        <w:t xml:space="preserve"> shares</w:t>
      </w:r>
      <w:r w:rsidR="001B3853" w:rsidRPr="00B76DD5">
        <w:rPr>
          <w:rStyle w:val="br"/>
          <w:rFonts w:asciiTheme="minorHAnsi" w:hAnsiTheme="minorHAnsi" w:cstheme="minorHAnsi"/>
          <w:color w:val="000000" w:themeColor="text1"/>
          <w:sz w:val="22"/>
          <w:szCs w:val="22"/>
        </w:rPr>
        <w:t xml:space="preserve">. </w:t>
      </w:r>
    </w:p>
    <w:p w14:paraId="2B3C7E30" w14:textId="6E25F84A" w:rsidR="00C822F7" w:rsidRDefault="00C822F7" w:rsidP="00316722">
      <w:pPr>
        <w:pStyle w:val="bu"/>
        <w:spacing w:before="0" w:beforeAutospacing="0"/>
        <w:jc w:val="both"/>
        <w:rPr>
          <w:rStyle w:val="br"/>
          <w:rFonts w:asciiTheme="minorHAnsi" w:hAnsiTheme="minorHAnsi" w:cstheme="minorHAnsi"/>
          <w:color w:val="000000" w:themeColor="text1"/>
          <w:sz w:val="22"/>
          <w:szCs w:val="22"/>
        </w:rPr>
      </w:pPr>
      <w:r>
        <w:rPr>
          <w:rStyle w:val="br"/>
          <w:rFonts w:asciiTheme="minorHAnsi" w:hAnsiTheme="minorHAnsi" w:cstheme="minorHAnsi"/>
          <w:color w:val="000000" w:themeColor="text1"/>
          <w:sz w:val="22"/>
          <w:szCs w:val="22"/>
        </w:rPr>
        <w:t>T</w:t>
      </w:r>
      <w:r w:rsidRPr="00C822F7">
        <w:rPr>
          <w:rStyle w:val="br"/>
          <w:rFonts w:asciiTheme="minorHAnsi" w:hAnsiTheme="minorHAnsi" w:cstheme="minorHAnsi"/>
          <w:color w:val="000000" w:themeColor="text1"/>
          <w:sz w:val="22"/>
          <w:szCs w:val="22"/>
        </w:rPr>
        <w:t xml:space="preserve">he Company’s total issued share capital with voting rights is </w:t>
      </w:r>
      <w:r w:rsidRPr="00E17873">
        <w:rPr>
          <w:rStyle w:val="br"/>
          <w:rFonts w:asciiTheme="minorHAnsi" w:hAnsiTheme="minorHAnsi" w:cstheme="minorHAnsi"/>
          <w:color w:val="000000" w:themeColor="text1"/>
          <w:sz w:val="22"/>
          <w:szCs w:val="22"/>
        </w:rPr>
        <w:t>32,049,999</w:t>
      </w:r>
      <w:r w:rsidRPr="00C822F7">
        <w:rPr>
          <w:rStyle w:val="br"/>
          <w:rFonts w:asciiTheme="minorHAnsi" w:hAnsiTheme="minorHAnsi" w:cstheme="minorHAnsi"/>
          <w:color w:val="000000" w:themeColor="text1"/>
          <w:sz w:val="22"/>
          <w:szCs w:val="22"/>
        </w:rPr>
        <w:t>. This number represents the total voting rights in the Company and may be used by shareholders as the denominator for the calculations by which they can determine if they are required to notify their interest in, or a change to their interest in the Company under the Financial Conduct Authority’s Disclosure Guidance and Transparency Rules.</w:t>
      </w:r>
    </w:p>
    <w:p w14:paraId="2D2BCE6B" w14:textId="2695BD5A" w:rsidR="00F8497C" w:rsidRDefault="00F8497C" w:rsidP="00316722">
      <w:pPr>
        <w:pStyle w:val="bu"/>
        <w:spacing w:before="0" w:beforeAutospacing="0"/>
        <w:jc w:val="both"/>
        <w:rPr>
          <w:rFonts w:asciiTheme="minorHAnsi" w:hAnsiTheme="minorHAnsi" w:cstheme="minorHAnsi"/>
          <w:b/>
          <w:bCs/>
          <w:color w:val="212721"/>
          <w:sz w:val="22"/>
          <w:szCs w:val="22"/>
        </w:rPr>
      </w:pPr>
      <w:r w:rsidRPr="007141CF">
        <w:rPr>
          <w:rFonts w:asciiTheme="minorHAnsi" w:hAnsiTheme="minorHAnsi" w:cstheme="minorHAnsi"/>
          <w:b/>
          <w:bCs/>
          <w:color w:val="212721"/>
          <w:sz w:val="22"/>
          <w:szCs w:val="22"/>
        </w:rPr>
        <w:lastRenderedPageBreak/>
        <w:t xml:space="preserve">Update on </w:t>
      </w:r>
      <w:r w:rsidR="007A20F5" w:rsidRPr="007141CF">
        <w:rPr>
          <w:rFonts w:asciiTheme="minorHAnsi" w:hAnsiTheme="minorHAnsi" w:cstheme="minorHAnsi"/>
          <w:b/>
          <w:bCs/>
          <w:color w:val="212721"/>
          <w:sz w:val="22"/>
          <w:szCs w:val="22"/>
        </w:rPr>
        <w:t xml:space="preserve">the potential strategic </w:t>
      </w:r>
      <w:proofErr w:type="gramStart"/>
      <w:r w:rsidR="007A20F5" w:rsidRPr="007141CF">
        <w:rPr>
          <w:rFonts w:asciiTheme="minorHAnsi" w:hAnsiTheme="minorHAnsi" w:cstheme="minorHAnsi"/>
          <w:b/>
          <w:bCs/>
          <w:color w:val="212721"/>
          <w:sz w:val="22"/>
          <w:szCs w:val="22"/>
        </w:rPr>
        <w:t>investment</w:t>
      </w:r>
      <w:proofErr w:type="gramEnd"/>
    </w:p>
    <w:p w14:paraId="532C84DF" w14:textId="0BBE9CAC" w:rsidR="00387BDC" w:rsidRDefault="00387BDC" w:rsidP="00316722">
      <w:pPr>
        <w:pStyle w:val="bu"/>
        <w:spacing w:before="0" w:beforeAutospacing="0"/>
        <w:jc w:val="both"/>
        <w:rPr>
          <w:rFonts w:asciiTheme="minorHAnsi" w:hAnsiTheme="minorHAnsi" w:cstheme="minorHAnsi"/>
          <w:color w:val="212721"/>
          <w:sz w:val="22"/>
          <w:szCs w:val="22"/>
        </w:rPr>
      </w:pPr>
      <w:r>
        <w:rPr>
          <w:rFonts w:asciiTheme="minorHAnsi" w:hAnsiTheme="minorHAnsi" w:cstheme="minorHAnsi"/>
          <w:color w:val="212721"/>
          <w:sz w:val="22"/>
          <w:szCs w:val="22"/>
        </w:rPr>
        <w:t xml:space="preserve">On 4 December 2020, the Company announced that it was in </w:t>
      </w:r>
      <w:r w:rsidRPr="00387BDC">
        <w:rPr>
          <w:rFonts w:asciiTheme="minorHAnsi" w:hAnsiTheme="minorHAnsi" w:cstheme="minorHAnsi"/>
          <w:color w:val="212721"/>
          <w:sz w:val="22"/>
          <w:szCs w:val="22"/>
        </w:rPr>
        <w:t xml:space="preserve">discussions with a potential strategic investor that may subscribe for shares in the Company that may result in a shareholding by the </w:t>
      </w:r>
      <w:r w:rsidR="00397DF3">
        <w:rPr>
          <w:rFonts w:asciiTheme="minorHAnsi" w:hAnsiTheme="minorHAnsi" w:cstheme="minorHAnsi"/>
          <w:color w:val="212721"/>
          <w:sz w:val="22"/>
          <w:szCs w:val="22"/>
        </w:rPr>
        <w:t>i</w:t>
      </w:r>
      <w:r w:rsidRPr="00387BDC">
        <w:rPr>
          <w:rFonts w:asciiTheme="minorHAnsi" w:hAnsiTheme="minorHAnsi" w:cstheme="minorHAnsi"/>
          <w:color w:val="212721"/>
          <w:sz w:val="22"/>
          <w:szCs w:val="22"/>
        </w:rPr>
        <w:t xml:space="preserve">nvestor of over 30% in the voting rights of the Company. </w:t>
      </w:r>
      <w:r w:rsidR="00397DF3">
        <w:rPr>
          <w:rFonts w:asciiTheme="minorHAnsi" w:hAnsiTheme="minorHAnsi" w:cstheme="minorHAnsi"/>
          <w:color w:val="212721"/>
          <w:sz w:val="22"/>
          <w:szCs w:val="22"/>
        </w:rPr>
        <w:t>Discussions with a potential investor are ongoing although the Company stresses t</w:t>
      </w:r>
      <w:r w:rsidRPr="00387BDC">
        <w:rPr>
          <w:rFonts w:asciiTheme="minorHAnsi" w:hAnsiTheme="minorHAnsi" w:cstheme="minorHAnsi"/>
          <w:color w:val="212721"/>
          <w:sz w:val="22"/>
          <w:szCs w:val="22"/>
        </w:rPr>
        <w:t>here is no guarantee that an agreement will be reached on such an investment, or what a resultant percentage holding might be subscribed for, or at what price any investment might be made.</w:t>
      </w:r>
    </w:p>
    <w:p w14:paraId="08C0A039" w14:textId="7A4EC4DF" w:rsidR="007A20F5" w:rsidRDefault="0042162A" w:rsidP="00316722">
      <w:pPr>
        <w:pStyle w:val="bu"/>
        <w:spacing w:before="0" w:beforeAutospacing="0"/>
        <w:jc w:val="both"/>
        <w:rPr>
          <w:rFonts w:asciiTheme="minorHAnsi" w:hAnsiTheme="minorHAnsi" w:cstheme="minorHAnsi"/>
          <w:b/>
          <w:bCs/>
          <w:color w:val="000000" w:themeColor="text1"/>
          <w:sz w:val="22"/>
          <w:szCs w:val="22"/>
        </w:rPr>
      </w:pPr>
      <w:r w:rsidRPr="007141CF">
        <w:rPr>
          <w:rFonts w:asciiTheme="minorHAnsi" w:hAnsiTheme="minorHAnsi" w:cstheme="minorHAnsi"/>
          <w:b/>
          <w:bCs/>
          <w:color w:val="000000" w:themeColor="text1"/>
          <w:sz w:val="22"/>
          <w:szCs w:val="22"/>
        </w:rPr>
        <w:t xml:space="preserve">Update on board </w:t>
      </w:r>
      <w:proofErr w:type="gramStart"/>
      <w:r w:rsidR="009E07C4">
        <w:rPr>
          <w:rFonts w:asciiTheme="minorHAnsi" w:hAnsiTheme="minorHAnsi" w:cstheme="minorHAnsi"/>
          <w:b/>
          <w:bCs/>
          <w:color w:val="000000" w:themeColor="text1"/>
          <w:sz w:val="22"/>
          <w:szCs w:val="22"/>
        </w:rPr>
        <w:t>changes</w:t>
      </w:r>
      <w:proofErr w:type="gramEnd"/>
    </w:p>
    <w:p w14:paraId="4A98EE1D" w14:textId="23181EDC" w:rsidR="003C1383" w:rsidRDefault="00C8018B" w:rsidP="00316722">
      <w:pPr>
        <w:pStyle w:val="bu"/>
        <w:spacing w:before="0" w:beforeAutospacing="0"/>
        <w:jc w:val="both"/>
        <w:rPr>
          <w:rFonts w:asciiTheme="minorHAnsi" w:hAnsiTheme="minorHAnsi" w:cstheme="minorHAnsi"/>
          <w:color w:val="212721"/>
          <w:sz w:val="22"/>
          <w:szCs w:val="22"/>
        </w:rPr>
      </w:pPr>
      <w:r w:rsidRPr="00B76DD5">
        <w:rPr>
          <w:rFonts w:asciiTheme="minorHAnsi" w:hAnsiTheme="minorHAnsi" w:cstheme="minorHAnsi"/>
          <w:color w:val="212721"/>
          <w:sz w:val="22"/>
          <w:szCs w:val="22"/>
        </w:rPr>
        <w:t>Matthew Bonner</w:t>
      </w:r>
      <w:r>
        <w:rPr>
          <w:rFonts w:asciiTheme="minorHAnsi" w:hAnsiTheme="minorHAnsi" w:cstheme="minorHAnsi"/>
          <w:color w:val="212721"/>
          <w:sz w:val="22"/>
          <w:szCs w:val="22"/>
        </w:rPr>
        <w:t xml:space="preserve"> (non-executive </w:t>
      </w:r>
      <w:r w:rsidR="00057129">
        <w:rPr>
          <w:rFonts w:asciiTheme="minorHAnsi" w:hAnsiTheme="minorHAnsi" w:cstheme="minorHAnsi"/>
          <w:color w:val="212721"/>
          <w:sz w:val="22"/>
          <w:szCs w:val="22"/>
        </w:rPr>
        <w:t>c</w:t>
      </w:r>
      <w:r>
        <w:rPr>
          <w:rFonts w:asciiTheme="minorHAnsi" w:hAnsiTheme="minorHAnsi" w:cstheme="minorHAnsi"/>
          <w:color w:val="212721"/>
          <w:sz w:val="22"/>
          <w:szCs w:val="22"/>
        </w:rPr>
        <w:t>hairman)</w:t>
      </w:r>
      <w:r w:rsidRPr="00B76DD5">
        <w:rPr>
          <w:rFonts w:asciiTheme="minorHAnsi" w:hAnsiTheme="minorHAnsi" w:cstheme="minorHAnsi"/>
          <w:color w:val="212721"/>
          <w:sz w:val="22"/>
          <w:szCs w:val="22"/>
        </w:rPr>
        <w:t xml:space="preserve"> </w:t>
      </w:r>
      <w:r w:rsidR="00923915">
        <w:rPr>
          <w:rFonts w:asciiTheme="minorHAnsi" w:hAnsiTheme="minorHAnsi" w:cstheme="minorHAnsi"/>
          <w:color w:val="212721"/>
          <w:sz w:val="22"/>
          <w:szCs w:val="22"/>
        </w:rPr>
        <w:t xml:space="preserve">and </w:t>
      </w:r>
      <w:r w:rsidR="00923915" w:rsidRPr="004A0543">
        <w:rPr>
          <w:rFonts w:asciiTheme="minorHAnsi" w:hAnsiTheme="minorHAnsi" w:cstheme="minorHAnsi"/>
          <w:color w:val="212721"/>
          <w:sz w:val="22"/>
          <w:szCs w:val="22"/>
        </w:rPr>
        <w:t xml:space="preserve">Andrew Monk </w:t>
      </w:r>
      <w:r w:rsidR="00923915">
        <w:rPr>
          <w:rFonts w:asciiTheme="minorHAnsi" w:hAnsiTheme="minorHAnsi" w:cstheme="minorHAnsi"/>
          <w:color w:val="212721"/>
          <w:sz w:val="22"/>
          <w:szCs w:val="22"/>
        </w:rPr>
        <w:t xml:space="preserve">(non-executive director) have </w:t>
      </w:r>
      <w:r w:rsidRPr="00E3396F">
        <w:rPr>
          <w:rFonts w:asciiTheme="minorHAnsi" w:hAnsiTheme="minorHAnsi" w:cstheme="minorHAnsi"/>
          <w:color w:val="212721"/>
          <w:sz w:val="22"/>
          <w:szCs w:val="22"/>
        </w:rPr>
        <w:t>both step</w:t>
      </w:r>
      <w:r w:rsidR="00923915">
        <w:rPr>
          <w:rFonts w:asciiTheme="minorHAnsi" w:hAnsiTheme="minorHAnsi" w:cstheme="minorHAnsi"/>
          <w:color w:val="212721"/>
          <w:sz w:val="22"/>
          <w:szCs w:val="22"/>
        </w:rPr>
        <w:t>ped</w:t>
      </w:r>
      <w:r w:rsidRPr="00B76DD5">
        <w:rPr>
          <w:rFonts w:asciiTheme="minorHAnsi" w:hAnsiTheme="minorHAnsi" w:cstheme="minorHAnsi"/>
          <w:color w:val="212721"/>
          <w:sz w:val="22"/>
          <w:szCs w:val="22"/>
        </w:rPr>
        <w:t xml:space="preserve"> down from the Board of MMM </w:t>
      </w:r>
      <w:r>
        <w:rPr>
          <w:rFonts w:asciiTheme="minorHAnsi" w:hAnsiTheme="minorHAnsi" w:cstheme="minorHAnsi"/>
          <w:color w:val="212721"/>
          <w:sz w:val="22"/>
          <w:szCs w:val="22"/>
        </w:rPr>
        <w:t>with immediate effect to devote time to other business interests.</w:t>
      </w:r>
    </w:p>
    <w:p w14:paraId="373C6550" w14:textId="6A4FE358" w:rsidR="00C8018B" w:rsidRDefault="00C8018B" w:rsidP="00316722">
      <w:pPr>
        <w:pStyle w:val="bu"/>
        <w:spacing w:before="0" w:beforeAutospacing="0"/>
        <w:jc w:val="both"/>
        <w:rPr>
          <w:rFonts w:asciiTheme="minorHAnsi" w:hAnsiTheme="minorHAnsi" w:cstheme="minorHAnsi"/>
          <w:color w:val="212721"/>
          <w:sz w:val="22"/>
          <w:szCs w:val="22"/>
        </w:rPr>
      </w:pPr>
      <w:r>
        <w:rPr>
          <w:rFonts w:asciiTheme="minorHAnsi" w:hAnsiTheme="minorHAnsi" w:cstheme="minorHAnsi"/>
          <w:color w:val="212721"/>
          <w:sz w:val="22"/>
          <w:szCs w:val="22"/>
        </w:rPr>
        <w:t>Simultaneously, MMM is delighted to announce that Jonathan</w:t>
      </w:r>
      <w:r w:rsidR="009E07C4">
        <w:rPr>
          <w:rFonts w:asciiTheme="minorHAnsi" w:hAnsiTheme="minorHAnsi" w:cstheme="minorHAnsi"/>
          <w:color w:val="212721"/>
          <w:sz w:val="22"/>
          <w:szCs w:val="22"/>
        </w:rPr>
        <w:t xml:space="preserve"> </w:t>
      </w:r>
      <w:r w:rsidR="00923915">
        <w:rPr>
          <w:rFonts w:asciiTheme="minorHAnsi" w:hAnsiTheme="minorHAnsi" w:cstheme="minorHAnsi"/>
          <w:color w:val="212721"/>
          <w:sz w:val="22"/>
          <w:szCs w:val="22"/>
        </w:rPr>
        <w:t xml:space="preserve">(“Johnny”) </w:t>
      </w:r>
      <w:r w:rsidR="009E07C4">
        <w:rPr>
          <w:rFonts w:asciiTheme="minorHAnsi" w:hAnsiTheme="minorHAnsi" w:cstheme="minorHAnsi"/>
          <w:color w:val="212721"/>
          <w:sz w:val="22"/>
          <w:szCs w:val="22"/>
        </w:rPr>
        <w:t>Martin</w:t>
      </w:r>
      <w:r>
        <w:rPr>
          <w:rFonts w:asciiTheme="minorHAnsi" w:hAnsiTheme="minorHAnsi" w:cstheme="minorHAnsi"/>
          <w:color w:val="212721"/>
          <w:sz w:val="22"/>
          <w:szCs w:val="22"/>
        </w:rPr>
        <w:t xml:space="preserve"> Smith</w:t>
      </w:r>
      <w:r w:rsidR="009E07C4">
        <w:rPr>
          <w:rFonts w:asciiTheme="minorHAnsi" w:hAnsiTheme="minorHAnsi" w:cstheme="minorHAnsi"/>
          <w:color w:val="212721"/>
          <w:sz w:val="22"/>
          <w:szCs w:val="22"/>
        </w:rPr>
        <w:t xml:space="preserve"> </w:t>
      </w:r>
      <w:r w:rsidR="00923915">
        <w:rPr>
          <w:rFonts w:asciiTheme="minorHAnsi" w:hAnsiTheme="minorHAnsi" w:cstheme="minorHAnsi"/>
          <w:color w:val="212721"/>
          <w:sz w:val="22"/>
          <w:szCs w:val="22"/>
        </w:rPr>
        <w:t xml:space="preserve">has </w:t>
      </w:r>
      <w:r>
        <w:rPr>
          <w:rFonts w:asciiTheme="minorHAnsi" w:hAnsiTheme="minorHAnsi" w:cstheme="minorHAnsi"/>
          <w:color w:val="212721"/>
          <w:sz w:val="22"/>
          <w:szCs w:val="22"/>
        </w:rPr>
        <w:t>join</w:t>
      </w:r>
      <w:r w:rsidR="00923915">
        <w:rPr>
          <w:rFonts w:asciiTheme="minorHAnsi" w:hAnsiTheme="minorHAnsi" w:cstheme="minorHAnsi"/>
          <w:color w:val="212721"/>
          <w:sz w:val="22"/>
          <w:szCs w:val="22"/>
        </w:rPr>
        <w:t>ed</w:t>
      </w:r>
      <w:r>
        <w:rPr>
          <w:rFonts w:asciiTheme="minorHAnsi" w:hAnsiTheme="minorHAnsi" w:cstheme="minorHAnsi"/>
          <w:color w:val="212721"/>
          <w:sz w:val="22"/>
          <w:szCs w:val="22"/>
        </w:rPr>
        <w:t xml:space="preserve"> the Board with immediate effect. </w:t>
      </w:r>
    </w:p>
    <w:p w14:paraId="6C68D035" w14:textId="5B8C2680" w:rsidR="009E07C4" w:rsidRPr="00E3396F" w:rsidRDefault="009E07C4" w:rsidP="00E3396F">
      <w:pPr>
        <w:rPr>
          <w:rFonts w:eastAsia="Times New Roman"/>
        </w:rPr>
      </w:pPr>
      <w:r w:rsidRPr="00B76DD5">
        <w:rPr>
          <w:rFonts w:cstheme="minorHAnsi"/>
          <w:color w:val="212721"/>
        </w:rPr>
        <w:t xml:space="preserve">Johnny </w:t>
      </w:r>
      <w:r>
        <w:rPr>
          <w:rFonts w:cstheme="minorHAnsi"/>
          <w:color w:val="212721"/>
        </w:rPr>
        <w:t xml:space="preserve">is currently </w:t>
      </w:r>
      <w:r w:rsidR="00E3396F">
        <w:rPr>
          <w:rFonts w:eastAsia="Times New Roman"/>
        </w:rPr>
        <w:t xml:space="preserve">the CEO of Sumner Group Mining plc (formerly VI Mining) and </w:t>
      </w:r>
      <w:r w:rsidRPr="00B76DD5">
        <w:rPr>
          <w:rFonts w:cstheme="minorHAnsi"/>
          <w:color w:val="212721"/>
        </w:rPr>
        <w:t xml:space="preserve">has extensive experience in the mining industry, having started as a mining analyst with the stockbroker, Davis </w:t>
      </w:r>
      <w:proofErr w:type="spellStart"/>
      <w:r w:rsidRPr="00B76DD5">
        <w:rPr>
          <w:rFonts w:cstheme="minorHAnsi"/>
          <w:color w:val="212721"/>
        </w:rPr>
        <w:t>Borkum</w:t>
      </w:r>
      <w:proofErr w:type="spellEnd"/>
      <w:r w:rsidRPr="00B76DD5">
        <w:rPr>
          <w:rFonts w:cstheme="minorHAnsi"/>
          <w:color w:val="212721"/>
        </w:rPr>
        <w:t xml:space="preserve"> Hare (latterly Bank of America Merrill Lynch) in 1983 in Johannesburg, before moving to London where he worked in specialist mining sales for SG Warburg.</w:t>
      </w:r>
      <w:r w:rsidRPr="00B76DD5">
        <w:rPr>
          <w:rFonts w:cstheme="minorHAnsi" w:hint="eastAsia"/>
          <w:color w:val="212721"/>
        </w:rPr>
        <w:t> </w:t>
      </w:r>
      <w:r w:rsidRPr="00B76DD5">
        <w:rPr>
          <w:rFonts w:cstheme="minorHAnsi"/>
          <w:color w:val="212721"/>
        </w:rPr>
        <w:t xml:space="preserve"> Subsequently he worked at UBS, Credit </w:t>
      </w:r>
      <w:proofErr w:type="gramStart"/>
      <w:r w:rsidRPr="00B76DD5">
        <w:rPr>
          <w:rFonts w:cstheme="minorHAnsi"/>
          <w:color w:val="212721"/>
        </w:rPr>
        <w:t>Suisse</w:t>
      </w:r>
      <w:proofErr w:type="gramEnd"/>
      <w:r w:rsidRPr="00B76DD5">
        <w:rPr>
          <w:rFonts w:cstheme="minorHAnsi"/>
          <w:color w:val="212721"/>
        </w:rPr>
        <w:t xml:space="preserve"> and Williams de </w:t>
      </w:r>
      <w:proofErr w:type="spellStart"/>
      <w:r w:rsidRPr="00B76DD5">
        <w:rPr>
          <w:rFonts w:cstheme="minorHAnsi"/>
          <w:color w:val="212721"/>
        </w:rPr>
        <w:t>Broe</w:t>
      </w:r>
      <w:proofErr w:type="spellEnd"/>
      <w:r w:rsidRPr="00B76DD5">
        <w:rPr>
          <w:rFonts w:cstheme="minorHAnsi"/>
          <w:color w:val="212721"/>
        </w:rPr>
        <w:t>.</w:t>
      </w:r>
      <w:r w:rsidRPr="00B76DD5">
        <w:rPr>
          <w:rFonts w:cstheme="minorHAnsi" w:hint="eastAsia"/>
          <w:color w:val="212721"/>
        </w:rPr>
        <w:t> </w:t>
      </w:r>
      <w:r w:rsidRPr="00B76DD5">
        <w:rPr>
          <w:rFonts w:cstheme="minorHAnsi"/>
          <w:color w:val="212721"/>
        </w:rPr>
        <w:t xml:space="preserve"> He founded Smiths Corporate Advisory in 1999 which he developed into a leading investor relations business focused on the mining sector, and then sold to </w:t>
      </w:r>
      <w:proofErr w:type="spellStart"/>
      <w:r w:rsidRPr="00B76DD5">
        <w:rPr>
          <w:rFonts w:cstheme="minorHAnsi"/>
          <w:color w:val="212721"/>
        </w:rPr>
        <w:t>Westhouse</w:t>
      </w:r>
      <w:proofErr w:type="spellEnd"/>
      <w:r w:rsidRPr="00B76DD5">
        <w:rPr>
          <w:rFonts w:cstheme="minorHAnsi"/>
          <w:color w:val="212721"/>
        </w:rPr>
        <w:t xml:space="preserve"> Holdings in 2011, where he became head of mining.</w:t>
      </w:r>
      <w:r w:rsidRPr="00B76DD5">
        <w:rPr>
          <w:rFonts w:cstheme="minorHAnsi" w:hint="eastAsia"/>
          <w:color w:val="212721"/>
        </w:rPr>
        <w:t> </w:t>
      </w:r>
      <w:r w:rsidRPr="00B76DD5">
        <w:rPr>
          <w:rFonts w:cstheme="minorHAnsi"/>
          <w:color w:val="212721"/>
        </w:rPr>
        <w:t xml:space="preserve"> He is an Independent Non-Executive Director of IRC Limited and Chairman of its Remuneration Committee.</w:t>
      </w:r>
    </w:p>
    <w:p w14:paraId="24F09942" w14:textId="4D1B6133" w:rsidR="009E07C4" w:rsidRDefault="009E07C4" w:rsidP="009E07C4">
      <w:pPr>
        <w:pStyle w:val="bu"/>
        <w:spacing w:before="0" w:beforeAutospacing="0"/>
        <w:jc w:val="both"/>
        <w:rPr>
          <w:rFonts w:asciiTheme="minorHAnsi" w:hAnsiTheme="minorHAnsi" w:cstheme="minorHAnsi"/>
          <w:color w:val="212721"/>
          <w:sz w:val="22"/>
          <w:szCs w:val="22"/>
        </w:rPr>
      </w:pPr>
      <w:r>
        <w:rPr>
          <w:rFonts w:asciiTheme="minorHAnsi" w:hAnsiTheme="minorHAnsi" w:cstheme="minorHAnsi"/>
          <w:color w:val="212721"/>
          <w:sz w:val="22"/>
          <w:szCs w:val="22"/>
        </w:rPr>
        <w:t>Johnny’s current and past directorships</w:t>
      </w:r>
    </w:p>
    <w:p w14:paraId="1A0EE342" w14:textId="5195F97D" w:rsidR="009E07C4" w:rsidRPr="00B76DD5" w:rsidRDefault="009E07C4" w:rsidP="00B76DD5">
      <w:pPr>
        <w:pStyle w:val="bu"/>
        <w:spacing w:before="0" w:beforeAutospacing="0"/>
        <w:jc w:val="both"/>
        <w:rPr>
          <w:rFonts w:asciiTheme="minorHAnsi" w:hAnsiTheme="minorHAnsi" w:cstheme="minorHAnsi"/>
          <w:color w:val="212721"/>
          <w:sz w:val="22"/>
          <w:szCs w:val="22"/>
        </w:rPr>
      </w:pPr>
      <w:r w:rsidRPr="00B76DD5">
        <w:rPr>
          <w:rFonts w:asciiTheme="minorHAnsi" w:hAnsiTheme="minorHAnsi" w:cstheme="minorHAnsi"/>
          <w:color w:val="212721"/>
          <w:sz w:val="22"/>
          <w:szCs w:val="22"/>
        </w:rPr>
        <w:t>IRC Ltd HK Iron Ore Mining– Independent Non-Executive Director (October 2010 – present)</w:t>
      </w:r>
    </w:p>
    <w:p w14:paraId="36DFFD51" w14:textId="7A2DAACB" w:rsidR="009E07C4" w:rsidRDefault="009E07C4" w:rsidP="009E07C4">
      <w:pPr>
        <w:pStyle w:val="bu"/>
        <w:spacing w:before="0" w:beforeAutospacing="0"/>
        <w:jc w:val="both"/>
        <w:rPr>
          <w:rFonts w:asciiTheme="minorHAnsi" w:hAnsiTheme="minorHAnsi" w:cstheme="minorHAnsi"/>
          <w:color w:val="212721"/>
          <w:sz w:val="22"/>
          <w:szCs w:val="22"/>
        </w:rPr>
      </w:pPr>
      <w:r w:rsidRPr="00B76DD5">
        <w:rPr>
          <w:rFonts w:asciiTheme="minorHAnsi" w:hAnsiTheme="minorHAnsi" w:cstheme="minorHAnsi"/>
          <w:color w:val="212721"/>
          <w:sz w:val="22"/>
          <w:szCs w:val="22"/>
        </w:rPr>
        <w:t xml:space="preserve">VI Mining Gold processing - Independent Non-Executive Director </w:t>
      </w:r>
      <w:r>
        <w:rPr>
          <w:rFonts w:asciiTheme="minorHAnsi" w:hAnsiTheme="minorHAnsi" w:cstheme="minorHAnsi"/>
          <w:color w:val="212721"/>
          <w:sz w:val="22"/>
          <w:szCs w:val="22"/>
        </w:rPr>
        <w:t>(</w:t>
      </w:r>
      <w:r w:rsidRPr="00B76DD5">
        <w:rPr>
          <w:rFonts w:asciiTheme="minorHAnsi" w:hAnsiTheme="minorHAnsi" w:cstheme="minorHAnsi"/>
          <w:color w:val="212721"/>
          <w:sz w:val="22"/>
          <w:szCs w:val="22"/>
        </w:rPr>
        <w:t>Jan 2019 – Sept 2020)</w:t>
      </w:r>
    </w:p>
    <w:p w14:paraId="3AA22773" w14:textId="025FD467" w:rsidR="00923915" w:rsidRDefault="00923915" w:rsidP="00316722">
      <w:pPr>
        <w:pStyle w:val="bu"/>
        <w:spacing w:before="0" w:beforeAutospacing="0"/>
        <w:jc w:val="both"/>
        <w:rPr>
          <w:rFonts w:asciiTheme="minorHAnsi" w:hAnsiTheme="minorHAnsi" w:cstheme="minorHAnsi"/>
          <w:color w:val="212721"/>
          <w:sz w:val="22"/>
          <w:szCs w:val="22"/>
        </w:rPr>
      </w:pPr>
      <w:r>
        <w:rPr>
          <w:rFonts w:asciiTheme="minorHAnsi" w:hAnsiTheme="minorHAnsi" w:cstheme="minorHAnsi"/>
          <w:color w:val="212721"/>
          <w:sz w:val="22"/>
          <w:szCs w:val="22"/>
        </w:rPr>
        <w:t>There are no further disclosures to be made in connection with Johnny’s appointment.</w:t>
      </w:r>
    </w:p>
    <w:p w14:paraId="01D7C3A6" w14:textId="5C8AD0A1" w:rsidR="00C8018B" w:rsidRDefault="00C8018B" w:rsidP="00316722">
      <w:pPr>
        <w:pStyle w:val="bu"/>
        <w:spacing w:before="0" w:beforeAutospacing="0"/>
        <w:jc w:val="both"/>
        <w:rPr>
          <w:rFonts w:asciiTheme="minorHAnsi" w:hAnsiTheme="minorHAnsi" w:cstheme="minorHAnsi"/>
          <w:color w:val="212721"/>
          <w:sz w:val="22"/>
          <w:szCs w:val="22"/>
        </w:rPr>
      </w:pPr>
      <w:r>
        <w:rPr>
          <w:rFonts w:asciiTheme="minorHAnsi" w:hAnsiTheme="minorHAnsi" w:cstheme="minorHAnsi"/>
          <w:color w:val="212721"/>
          <w:sz w:val="22"/>
          <w:szCs w:val="22"/>
        </w:rPr>
        <w:t xml:space="preserve">Commenting on Mr </w:t>
      </w:r>
      <w:r w:rsidR="00A64025">
        <w:rPr>
          <w:rFonts w:asciiTheme="minorHAnsi" w:hAnsiTheme="minorHAnsi" w:cstheme="minorHAnsi"/>
          <w:color w:val="212721"/>
          <w:sz w:val="22"/>
          <w:szCs w:val="22"/>
        </w:rPr>
        <w:t>Bonner</w:t>
      </w:r>
      <w:r>
        <w:rPr>
          <w:rFonts w:asciiTheme="minorHAnsi" w:hAnsiTheme="minorHAnsi" w:cstheme="minorHAnsi"/>
          <w:color w:val="212721"/>
          <w:sz w:val="22"/>
          <w:szCs w:val="22"/>
        </w:rPr>
        <w:t xml:space="preserve"> and Mr </w:t>
      </w:r>
      <w:r w:rsidR="00A64025">
        <w:rPr>
          <w:rFonts w:asciiTheme="minorHAnsi" w:hAnsiTheme="minorHAnsi" w:cstheme="minorHAnsi"/>
          <w:color w:val="212721"/>
          <w:sz w:val="22"/>
          <w:szCs w:val="22"/>
        </w:rPr>
        <w:t>Monk</w:t>
      </w:r>
      <w:r w:rsidR="00923915">
        <w:rPr>
          <w:rFonts w:asciiTheme="minorHAnsi" w:hAnsiTheme="minorHAnsi" w:cstheme="minorHAnsi"/>
          <w:color w:val="212721"/>
          <w:sz w:val="22"/>
          <w:szCs w:val="22"/>
        </w:rPr>
        <w:t>’</w:t>
      </w:r>
      <w:r>
        <w:rPr>
          <w:rFonts w:asciiTheme="minorHAnsi" w:hAnsiTheme="minorHAnsi" w:cstheme="minorHAnsi"/>
          <w:color w:val="212721"/>
          <w:sz w:val="22"/>
          <w:szCs w:val="22"/>
        </w:rPr>
        <w:t xml:space="preserve">s departure as well as Mr </w:t>
      </w:r>
      <w:r w:rsidR="00923915">
        <w:rPr>
          <w:rFonts w:asciiTheme="minorHAnsi" w:hAnsiTheme="minorHAnsi" w:cstheme="minorHAnsi"/>
          <w:color w:val="212721"/>
          <w:sz w:val="22"/>
          <w:szCs w:val="22"/>
        </w:rPr>
        <w:t>Martin-</w:t>
      </w:r>
      <w:r>
        <w:rPr>
          <w:rFonts w:asciiTheme="minorHAnsi" w:hAnsiTheme="minorHAnsi" w:cstheme="minorHAnsi"/>
          <w:color w:val="212721"/>
          <w:sz w:val="22"/>
          <w:szCs w:val="22"/>
        </w:rPr>
        <w:t>Smith’s appointment to the Board, Roy Pitchford, non-executive director, said:</w:t>
      </w:r>
    </w:p>
    <w:p w14:paraId="5C29CE01" w14:textId="3F46513A" w:rsidR="00057129" w:rsidRPr="00B76DD5" w:rsidRDefault="00C8018B" w:rsidP="00316722">
      <w:pPr>
        <w:pStyle w:val="bu"/>
        <w:spacing w:before="0" w:beforeAutospacing="0"/>
        <w:jc w:val="both"/>
        <w:rPr>
          <w:rFonts w:asciiTheme="minorHAnsi" w:hAnsiTheme="minorHAnsi" w:cstheme="minorHAnsi"/>
          <w:color w:val="212721"/>
          <w:sz w:val="22"/>
          <w:szCs w:val="22"/>
        </w:rPr>
      </w:pPr>
      <w:r>
        <w:rPr>
          <w:rFonts w:asciiTheme="minorHAnsi" w:hAnsiTheme="minorHAnsi" w:cstheme="minorHAnsi"/>
          <w:color w:val="212721"/>
          <w:sz w:val="22"/>
          <w:szCs w:val="22"/>
        </w:rPr>
        <w:t xml:space="preserve">“On behalf of the Board, I would like to thank Matthew </w:t>
      </w:r>
      <w:r w:rsidR="00923915">
        <w:rPr>
          <w:rFonts w:asciiTheme="minorHAnsi" w:hAnsiTheme="minorHAnsi" w:cstheme="minorHAnsi"/>
          <w:color w:val="212721"/>
          <w:sz w:val="22"/>
          <w:szCs w:val="22"/>
        </w:rPr>
        <w:t xml:space="preserve">and Andrew </w:t>
      </w:r>
      <w:r>
        <w:rPr>
          <w:rFonts w:asciiTheme="minorHAnsi" w:hAnsiTheme="minorHAnsi" w:cstheme="minorHAnsi"/>
          <w:color w:val="212721"/>
          <w:sz w:val="22"/>
          <w:szCs w:val="22"/>
        </w:rPr>
        <w:t xml:space="preserve">for their contribution to the development of the Company and wish them well in the future. </w:t>
      </w:r>
      <w:proofErr w:type="gramStart"/>
      <w:r w:rsidR="009E07C4">
        <w:rPr>
          <w:rFonts w:asciiTheme="minorHAnsi" w:hAnsiTheme="minorHAnsi" w:cstheme="minorHAnsi"/>
          <w:color w:val="212721"/>
          <w:sz w:val="22"/>
          <w:szCs w:val="22"/>
        </w:rPr>
        <w:t>I’m</w:t>
      </w:r>
      <w:proofErr w:type="gramEnd"/>
      <w:r w:rsidR="009E07C4">
        <w:rPr>
          <w:rFonts w:asciiTheme="minorHAnsi" w:hAnsiTheme="minorHAnsi" w:cstheme="minorHAnsi"/>
          <w:color w:val="212721"/>
          <w:sz w:val="22"/>
          <w:szCs w:val="22"/>
        </w:rPr>
        <w:t xml:space="preserve"> delighted to welcome Johnny to the Board of MMM, Johnny joins us with e</w:t>
      </w:r>
      <w:r w:rsidR="00057129">
        <w:rPr>
          <w:rFonts w:asciiTheme="minorHAnsi" w:hAnsiTheme="minorHAnsi" w:cstheme="minorHAnsi"/>
          <w:color w:val="212721"/>
          <w:sz w:val="22"/>
          <w:szCs w:val="22"/>
        </w:rPr>
        <w:t>xtensive experience in the mining industry and I am confident that he will provide the right balance of challenge and independence</w:t>
      </w:r>
      <w:r w:rsidR="003523E1">
        <w:rPr>
          <w:rFonts w:asciiTheme="minorHAnsi" w:hAnsiTheme="minorHAnsi" w:cstheme="minorHAnsi"/>
          <w:color w:val="212721"/>
          <w:sz w:val="22"/>
          <w:szCs w:val="22"/>
        </w:rPr>
        <w:t>. I am also confident that he can contribute greatly</w:t>
      </w:r>
      <w:r w:rsidR="00057129">
        <w:rPr>
          <w:rFonts w:asciiTheme="minorHAnsi" w:hAnsiTheme="minorHAnsi" w:cstheme="minorHAnsi"/>
          <w:color w:val="212721"/>
          <w:sz w:val="22"/>
          <w:szCs w:val="22"/>
        </w:rPr>
        <w:t xml:space="preserve"> </w:t>
      </w:r>
      <w:proofErr w:type="gramStart"/>
      <w:r w:rsidR="00057129">
        <w:rPr>
          <w:rFonts w:asciiTheme="minorHAnsi" w:hAnsiTheme="minorHAnsi" w:cstheme="minorHAnsi"/>
          <w:color w:val="212721"/>
          <w:sz w:val="22"/>
          <w:szCs w:val="22"/>
        </w:rPr>
        <w:t>in</w:t>
      </w:r>
      <w:proofErr w:type="gramEnd"/>
      <w:r w:rsidR="00057129">
        <w:rPr>
          <w:rFonts w:asciiTheme="minorHAnsi" w:hAnsiTheme="minorHAnsi" w:cstheme="minorHAnsi"/>
          <w:color w:val="212721"/>
          <w:sz w:val="22"/>
          <w:szCs w:val="22"/>
        </w:rPr>
        <w:t xml:space="preserve"> our search for RTO candidates</w:t>
      </w:r>
      <w:r w:rsidR="003523E1">
        <w:rPr>
          <w:rFonts w:asciiTheme="minorHAnsi" w:hAnsiTheme="minorHAnsi" w:cstheme="minorHAnsi"/>
          <w:color w:val="212721"/>
          <w:sz w:val="22"/>
          <w:szCs w:val="22"/>
        </w:rPr>
        <w:t xml:space="preserve"> given his credentials</w:t>
      </w:r>
      <w:r w:rsidR="00057129">
        <w:rPr>
          <w:rFonts w:asciiTheme="minorHAnsi" w:hAnsiTheme="minorHAnsi" w:cstheme="minorHAnsi"/>
          <w:color w:val="212721"/>
          <w:sz w:val="22"/>
          <w:szCs w:val="22"/>
        </w:rPr>
        <w:t>.”</w:t>
      </w:r>
    </w:p>
    <w:p w14:paraId="73B831E8" w14:textId="5923AA08" w:rsidR="0042162A" w:rsidRDefault="0042162A" w:rsidP="00316722">
      <w:pPr>
        <w:pStyle w:val="bu"/>
        <w:spacing w:before="0" w:beforeAutospacing="0"/>
        <w:jc w:val="both"/>
        <w:rPr>
          <w:rFonts w:asciiTheme="minorHAnsi" w:hAnsiTheme="minorHAnsi" w:cstheme="minorHAnsi"/>
          <w:b/>
          <w:bCs/>
          <w:color w:val="000000" w:themeColor="text1"/>
          <w:sz w:val="22"/>
          <w:szCs w:val="22"/>
        </w:rPr>
      </w:pPr>
      <w:r w:rsidRPr="007141CF">
        <w:rPr>
          <w:rFonts w:asciiTheme="minorHAnsi" w:hAnsiTheme="minorHAnsi" w:cstheme="minorHAnsi"/>
          <w:b/>
          <w:bCs/>
          <w:color w:val="000000" w:themeColor="text1"/>
          <w:sz w:val="22"/>
          <w:szCs w:val="22"/>
        </w:rPr>
        <w:t xml:space="preserve">Update on </w:t>
      </w:r>
      <w:r w:rsidR="00A46DBB">
        <w:rPr>
          <w:rFonts w:asciiTheme="minorHAnsi" w:hAnsiTheme="minorHAnsi" w:cstheme="minorHAnsi"/>
          <w:b/>
          <w:bCs/>
          <w:color w:val="000000" w:themeColor="text1"/>
          <w:sz w:val="22"/>
          <w:szCs w:val="22"/>
        </w:rPr>
        <w:t xml:space="preserve">acquisition </w:t>
      </w:r>
      <w:proofErr w:type="gramStart"/>
      <w:r w:rsidR="00A46DBB">
        <w:rPr>
          <w:rFonts w:asciiTheme="minorHAnsi" w:hAnsiTheme="minorHAnsi" w:cstheme="minorHAnsi"/>
          <w:b/>
          <w:bCs/>
          <w:color w:val="000000" w:themeColor="text1"/>
          <w:sz w:val="22"/>
          <w:szCs w:val="22"/>
        </w:rPr>
        <w:t>search</w:t>
      </w:r>
      <w:proofErr w:type="gramEnd"/>
    </w:p>
    <w:p w14:paraId="54BE2F7E" w14:textId="2479BD39" w:rsidR="003C1383" w:rsidRPr="00B33EF7" w:rsidRDefault="00290564" w:rsidP="00C540BE">
      <w:pPr>
        <w:pStyle w:val="bu"/>
        <w:spacing w:before="0" w:beforeAutospacing="0"/>
        <w:jc w:val="both"/>
        <w:rPr>
          <w:rStyle w:val="br"/>
          <w:rFonts w:asciiTheme="minorHAnsi" w:hAnsiTheme="minorHAnsi" w:cstheme="minorHAnsi"/>
          <w:color w:val="000000" w:themeColor="text1"/>
          <w:sz w:val="22"/>
          <w:szCs w:val="22"/>
        </w:rPr>
      </w:pPr>
      <w:r w:rsidRPr="00B33EF7">
        <w:rPr>
          <w:rStyle w:val="br"/>
          <w:rFonts w:asciiTheme="minorHAnsi" w:hAnsiTheme="minorHAnsi" w:cstheme="minorHAnsi"/>
          <w:color w:val="000000" w:themeColor="text1"/>
          <w:sz w:val="22"/>
          <w:szCs w:val="22"/>
        </w:rPr>
        <w:t xml:space="preserve">The </w:t>
      </w:r>
      <w:r w:rsidR="00320D56" w:rsidRPr="00B33EF7">
        <w:rPr>
          <w:rStyle w:val="br"/>
          <w:rFonts w:asciiTheme="minorHAnsi" w:hAnsiTheme="minorHAnsi" w:cstheme="minorHAnsi"/>
          <w:color w:val="000000" w:themeColor="text1"/>
          <w:sz w:val="22"/>
          <w:szCs w:val="22"/>
        </w:rPr>
        <w:t xml:space="preserve">Company </w:t>
      </w:r>
      <w:r w:rsidR="00397DF3">
        <w:rPr>
          <w:rStyle w:val="br"/>
          <w:rFonts w:asciiTheme="minorHAnsi" w:hAnsiTheme="minorHAnsi" w:cstheme="minorHAnsi"/>
          <w:color w:val="000000" w:themeColor="text1"/>
          <w:sz w:val="22"/>
          <w:szCs w:val="22"/>
        </w:rPr>
        <w:t xml:space="preserve">has noted speculation about whether a Reverse Takeover transaction is being progressed.  </w:t>
      </w:r>
      <w:r w:rsidR="00B33EF7" w:rsidRPr="00B33EF7">
        <w:rPr>
          <w:rStyle w:val="br"/>
          <w:rFonts w:asciiTheme="minorHAnsi" w:hAnsiTheme="minorHAnsi" w:cstheme="minorHAnsi"/>
          <w:color w:val="000000" w:themeColor="text1"/>
          <w:sz w:val="22"/>
          <w:szCs w:val="22"/>
        </w:rPr>
        <w:t xml:space="preserve">The </w:t>
      </w:r>
      <w:r w:rsidR="0008470A">
        <w:rPr>
          <w:rStyle w:val="br"/>
          <w:rFonts w:asciiTheme="minorHAnsi" w:hAnsiTheme="minorHAnsi" w:cstheme="minorHAnsi"/>
          <w:color w:val="000000" w:themeColor="text1"/>
          <w:sz w:val="22"/>
          <w:szCs w:val="22"/>
        </w:rPr>
        <w:t>Board</w:t>
      </w:r>
      <w:r w:rsidR="00B33EF7" w:rsidRPr="00B33EF7">
        <w:rPr>
          <w:rStyle w:val="br"/>
          <w:rFonts w:asciiTheme="minorHAnsi" w:hAnsiTheme="minorHAnsi" w:cstheme="minorHAnsi"/>
          <w:color w:val="000000" w:themeColor="text1"/>
          <w:sz w:val="22"/>
          <w:szCs w:val="22"/>
        </w:rPr>
        <w:t xml:space="preserve"> </w:t>
      </w:r>
      <w:r w:rsidR="00BF02FC">
        <w:rPr>
          <w:rStyle w:val="br"/>
          <w:rFonts w:asciiTheme="minorHAnsi" w:hAnsiTheme="minorHAnsi" w:cstheme="minorHAnsi"/>
          <w:color w:val="000000" w:themeColor="text1"/>
          <w:sz w:val="22"/>
          <w:szCs w:val="22"/>
        </w:rPr>
        <w:t xml:space="preserve">has </w:t>
      </w:r>
      <w:r w:rsidR="0008470A" w:rsidRPr="0008470A">
        <w:rPr>
          <w:rStyle w:val="br"/>
          <w:rFonts w:asciiTheme="minorHAnsi" w:hAnsiTheme="minorHAnsi" w:cstheme="minorHAnsi"/>
          <w:color w:val="000000" w:themeColor="text1"/>
          <w:sz w:val="22"/>
          <w:szCs w:val="22"/>
        </w:rPr>
        <w:t xml:space="preserve">been active in its search for acquisition opportunities </w:t>
      </w:r>
      <w:r w:rsidR="00BF02FC">
        <w:rPr>
          <w:rStyle w:val="br"/>
          <w:rFonts w:asciiTheme="minorHAnsi" w:hAnsiTheme="minorHAnsi" w:cstheme="minorHAnsi"/>
          <w:color w:val="000000" w:themeColor="text1"/>
          <w:sz w:val="22"/>
          <w:szCs w:val="22"/>
        </w:rPr>
        <w:t xml:space="preserve">in the </w:t>
      </w:r>
      <w:r w:rsidR="00BF02FC" w:rsidRPr="00B33EF7">
        <w:rPr>
          <w:rStyle w:val="br"/>
          <w:rFonts w:asciiTheme="minorHAnsi" w:hAnsiTheme="minorHAnsi" w:cstheme="minorHAnsi"/>
          <w:color w:val="000000" w:themeColor="text1"/>
          <w:sz w:val="22"/>
          <w:szCs w:val="22"/>
        </w:rPr>
        <w:t xml:space="preserve">mining and </w:t>
      </w:r>
      <w:r w:rsidR="00397DF3">
        <w:rPr>
          <w:rStyle w:val="br"/>
          <w:rFonts w:asciiTheme="minorHAnsi" w:hAnsiTheme="minorHAnsi" w:cstheme="minorHAnsi"/>
          <w:color w:val="000000" w:themeColor="text1"/>
          <w:sz w:val="22"/>
          <w:szCs w:val="22"/>
        </w:rPr>
        <w:t>o</w:t>
      </w:r>
      <w:r w:rsidR="00BF02FC" w:rsidRPr="00B33EF7">
        <w:rPr>
          <w:rStyle w:val="br"/>
          <w:rFonts w:asciiTheme="minorHAnsi" w:hAnsiTheme="minorHAnsi" w:cstheme="minorHAnsi"/>
          <w:color w:val="000000" w:themeColor="text1"/>
          <w:sz w:val="22"/>
          <w:szCs w:val="22"/>
        </w:rPr>
        <w:t xml:space="preserve">il and </w:t>
      </w:r>
      <w:r w:rsidR="00397DF3">
        <w:rPr>
          <w:rStyle w:val="br"/>
          <w:rFonts w:asciiTheme="minorHAnsi" w:hAnsiTheme="minorHAnsi" w:cstheme="minorHAnsi"/>
          <w:color w:val="000000" w:themeColor="text1"/>
          <w:sz w:val="22"/>
          <w:szCs w:val="22"/>
        </w:rPr>
        <w:t>g</w:t>
      </w:r>
      <w:r w:rsidR="00BF02FC" w:rsidRPr="00B33EF7">
        <w:rPr>
          <w:rStyle w:val="br"/>
          <w:rFonts w:asciiTheme="minorHAnsi" w:hAnsiTheme="minorHAnsi" w:cstheme="minorHAnsi"/>
          <w:color w:val="000000" w:themeColor="text1"/>
          <w:sz w:val="22"/>
          <w:szCs w:val="22"/>
        </w:rPr>
        <w:t xml:space="preserve">as </w:t>
      </w:r>
      <w:r w:rsidR="001C6CBE" w:rsidRPr="00B33EF7">
        <w:rPr>
          <w:rStyle w:val="br"/>
          <w:rFonts w:asciiTheme="minorHAnsi" w:hAnsiTheme="minorHAnsi" w:cstheme="minorHAnsi"/>
          <w:color w:val="000000" w:themeColor="text1"/>
          <w:sz w:val="22"/>
          <w:szCs w:val="22"/>
        </w:rPr>
        <w:t>se</w:t>
      </w:r>
      <w:r w:rsidR="001C6CBE">
        <w:rPr>
          <w:rStyle w:val="br"/>
          <w:rFonts w:asciiTheme="minorHAnsi" w:hAnsiTheme="minorHAnsi" w:cstheme="minorHAnsi"/>
          <w:color w:val="000000" w:themeColor="text1"/>
          <w:sz w:val="22"/>
          <w:szCs w:val="22"/>
        </w:rPr>
        <w:t>ctors and</w:t>
      </w:r>
      <w:r w:rsidR="00397DF3">
        <w:rPr>
          <w:rStyle w:val="br"/>
          <w:rFonts w:asciiTheme="minorHAnsi" w:hAnsiTheme="minorHAnsi" w:cstheme="minorHAnsi"/>
          <w:color w:val="000000" w:themeColor="text1"/>
          <w:sz w:val="22"/>
          <w:szCs w:val="22"/>
        </w:rPr>
        <w:t xml:space="preserve"> </w:t>
      </w:r>
      <w:r w:rsidR="001C6CBE">
        <w:rPr>
          <w:rStyle w:val="br"/>
          <w:rFonts w:asciiTheme="minorHAnsi" w:hAnsiTheme="minorHAnsi" w:cstheme="minorHAnsi"/>
          <w:color w:val="000000" w:themeColor="text1"/>
          <w:sz w:val="22"/>
          <w:szCs w:val="22"/>
        </w:rPr>
        <w:t xml:space="preserve">continues to review </w:t>
      </w:r>
      <w:r w:rsidR="00397DF3">
        <w:rPr>
          <w:rStyle w:val="br"/>
          <w:rFonts w:asciiTheme="minorHAnsi" w:hAnsiTheme="minorHAnsi" w:cstheme="minorHAnsi"/>
          <w:color w:val="000000" w:themeColor="text1"/>
          <w:sz w:val="22"/>
          <w:szCs w:val="22"/>
        </w:rPr>
        <w:t xml:space="preserve">potential acquisition candidates.  However, there is not currently any specific acquisition in progress.  </w:t>
      </w:r>
    </w:p>
    <w:p w14:paraId="4C9E4321" w14:textId="2D98A9FE" w:rsidR="00C540BE" w:rsidRPr="00AB35C1" w:rsidRDefault="00C540BE" w:rsidP="00C540BE">
      <w:pPr>
        <w:pStyle w:val="bu"/>
        <w:spacing w:before="0" w:beforeAutospacing="0"/>
        <w:jc w:val="both"/>
        <w:rPr>
          <w:rFonts w:asciiTheme="minorHAnsi" w:hAnsiTheme="minorHAnsi" w:cstheme="minorHAnsi"/>
          <w:b/>
          <w:bCs/>
          <w:color w:val="212721"/>
          <w:sz w:val="22"/>
          <w:szCs w:val="22"/>
        </w:rPr>
      </w:pPr>
      <w:r>
        <w:rPr>
          <w:rFonts w:asciiTheme="minorHAnsi" w:hAnsiTheme="minorHAnsi" w:cstheme="minorHAnsi"/>
          <w:b/>
          <w:bCs/>
          <w:color w:val="212721"/>
          <w:sz w:val="22"/>
          <w:szCs w:val="22"/>
        </w:rPr>
        <w:lastRenderedPageBreak/>
        <w:t>C</w:t>
      </w:r>
      <w:r w:rsidRPr="00AB35C1">
        <w:rPr>
          <w:rFonts w:asciiTheme="minorHAnsi" w:hAnsiTheme="minorHAnsi" w:cstheme="minorHAnsi"/>
          <w:b/>
          <w:bCs/>
          <w:color w:val="212721"/>
          <w:sz w:val="22"/>
          <w:szCs w:val="22"/>
        </w:rPr>
        <w:t>ash position</w:t>
      </w:r>
    </w:p>
    <w:p w14:paraId="1AACFFFA" w14:textId="6C1C9D2A" w:rsidR="002711B4" w:rsidRPr="000B2ADA" w:rsidRDefault="00C540BE" w:rsidP="000B2ADA">
      <w:pPr>
        <w:pStyle w:val="bu"/>
        <w:spacing w:before="0" w:beforeAutospacing="0"/>
        <w:jc w:val="both"/>
        <w:rPr>
          <w:rStyle w:val="bd"/>
          <w:rFonts w:asciiTheme="minorHAnsi" w:hAnsiTheme="minorHAnsi" w:cstheme="minorHAnsi"/>
          <w:color w:val="000000" w:themeColor="text1"/>
          <w:sz w:val="22"/>
          <w:szCs w:val="22"/>
        </w:rPr>
      </w:pPr>
      <w:r>
        <w:rPr>
          <w:rStyle w:val="br"/>
          <w:rFonts w:asciiTheme="minorHAnsi" w:hAnsiTheme="minorHAnsi" w:cstheme="minorHAnsi"/>
          <w:color w:val="000000" w:themeColor="text1"/>
          <w:sz w:val="22"/>
          <w:szCs w:val="22"/>
        </w:rPr>
        <w:t xml:space="preserve">As at the </w:t>
      </w:r>
      <w:r w:rsidR="001C6CBE">
        <w:rPr>
          <w:rStyle w:val="br"/>
          <w:rFonts w:asciiTheme="minorHAnsi" w:hAnsiTheme="minorHAnsi" w:cstheme="minorHAnsi"/>
          <w:color w:val="000000" w:themeColor="text1"/>
          <w:sz w:val="22"/>
          <w:szCs w:val="22"/>
        </w:rPr>
        <w:t>year-end</w:t>
      </w:r>
      <w:r>
        <w:rPr>
          <w:rStyle w:val="br"/>
          <w:rFonts w:asciiTheme="minorHAnsi" w:hAnsiTheme="minorHAnsi" w:cstheme="minorHAnsi"/>
          <w:color w:val="000000" w:themeColor="text1"/>
          <w:sz w:val="22"/>
          <w:szCs w:val="22"/>
        </w:rPr>
        <w:t xml:space="preserve"> of 31 January 2021, the </w:t>
      </w:r>
      <w:r w:rsidR="00C822F7">
        <w:rPr>
          <w:rStyle w:val="br"/>
          <w:rFonts w:asciiTheme="minorHAnsi" w:hAnsiTheme="minorHAnsi" w:cstheme="minorHAnsi"/>
          <w:color w:val="000000" w:themeColor="text1"/>
          <w:sz w:val="22"/>
          <w:szCs w:val="22"/>
        </w:rPr>
        <w:t>C</w:t>
      </w:r>
      <w:r>
        <w:rPr>
          <w:rStyle w:val="br"/>
          <w:rFonts w:asciiTheme="minorHAnsi" w:hAnsiTheme="minorHAnsi" w:cstheme="minorHAnsi"/>
          <w:color w:val="000000" w:themeColor="text1"/>
          <w:sz w:val="22"/>
          <w:szCs w:val="22"/>
        </w:rPr>
        <w:t>ompany had a cash position of £363,652.</w:t>
      </w:r>
    </w:p>
    <w:p w14:paraId="405B0502" w14:textId="1BFED7E4" w:rsidR="00316722" w:rsidRPr="00D573FE" w:rsidRDefault="00316722" w:rsidP="00316722">
      <w:pPr>
        <w:pStyle w:val="bt"/>
        <w:spacing w:before="0" w:beforeAutospacing="0"/>
        <w:jc w:val="both"/>
        <w:rPr>
          <w:rFonts w:asciiTheme="minorHAnsi" w:hAnsiTheme="minorHAnsi" w:cstheme="minorHAnsi"/>
          <w:b/>
          <w:bCs/>
          <w:color w:val="000000" w:themeColor="text1"/>
          <w:sz w:val="22"/>
          <w:szCs w:val="22"/>
        </w:rPr>
      </w:pPr>
      <w:r w:rsidRPr="00D573FE">
        <w:rPr>
          <w:rStyle w:val="bd"/>
          <w:rFonts w:asciiTheme="minorHAnsi" w:hAnsiTheme="minorHAnsi" w:cstheme="minorHAnsi"/>
          <w:b/>
          <w:bCs/>
          <w:color w:val="000000" w:themeColor="text1"/>
          <w:sz w:val="22"/>
          <w:szCs w:val="22"/>
        </w:rPr>
        <w:t>Further information</w:t>
      </w:r>
    </w:p>
    <w:p w14:paraId="15341797" w14:textId="49BDA46D" w:rsidR="00316722" w:rsidRPr="00D573FE" w:rsidRDefault="008E4F3C" w:rsidP="00B76DD5">
      <w:pPr>
        <w:pStyle w:val="bu"/>
        <w:spacing w:before="0" w:beforeAutospacing="0"/>
        <w:jc w:val="both"/>
      </w:pPr>
      <w:r w:rsidRPr="00D573FE">
        <w:rPr>
          <w:rFonts w:asciiTheme="minorHAnsi" w:eastAsiaTheme="minorHAnsi" w:hAnsiTheme="minorHAnsi" w:cstheme="minorHAnsi"/>
          <w:sz w:val="22"/>
          <w:szCs w:val="22"/>
          <w:lang w:eastAsia="en-US"/>
        </w:rPr>
        <w:t>For further information, please visit</w:t>
      </w:r>
      <w:r w:rsidR="00397DF3">
        <w:rPr>
          <w:rFonts w:asciiTheme="minorHAnsi" w:eastAsiaTheme="minorHAnsi" w:hAnsiTheme="minorHAnsi" w:cstheme="minorHAnsi"/>
          <w:sz w:val="22"/>
          <w:szCs w:val="22"/>
          <w:lang w:eastAsia="en-US"/>
        </w:rPr>
        <w:t xml:space="preserve"> the Company’s website</w:t>
      </w:r>
      <w:r w:rsidR="004E2E76" w:rsidRPr="00D573FE">
        <w:rPr>
          <w:rFonts w:asciiTheme="minorHAnsi" w:eastAsiaTheme="minorHAnsi" w:hAnsiTheme="minorHAnsi" w:cstheme="minorHAnsi"/>
          <w:lang w:eastAsia="en-US"/>
        </w:rPr>
        <w:t xml:space="preserve">: </w:t>
      </w:r>
      <w:hyperlink r:id="rId8" w:history="1">
        <w:r w:rsidR="004E2E76" w:rsidRPr="00D573FE">
          <w:rPr>
            <w:rStyle w:val="Hyperlink"/>
            <w:rFonts w:asciiTheme="minorHAnsi" w:hAnsiTheme="minorHAnsi" w:cstheme="minorHAnsi"/>
            <w:color w:val="000000" w:themeColor="text1"/>
            <w:sz w:val="22"/>
            <w:szCs w:val="22"/>
          </w:rPr>
          <w:t>www.mmmplc.com</w:t>
        </w:r>
      </w:hyperlink>
      <w:r w:rsidR="004E2E76" w:rsidRPr="00D573FE">
        <w:rPr>
          <w:rStyle w:val="br"/>
          <w:rFonts w:asciiTheme="minorHAnsi" w:hAnsiTheme="minorHAnsi" w:cstheme="minorHAnsi"/>
          <w:color w:val="000000" w:themeColor="text1"/>
          <w:sz w:val="22"/>
          <w:szCs w:val="22"/>
        </w:rPr>
        <w:t xml:space="preserve"> </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6511"/>
        <w:gridCol w:w="2789"/>
      </w:tblGrid>
      <w:tr w:rsidR="00B422A2" w:rsidRPr="00D573FE" w14:paraId="26FD07BA" w14:textId="77777777" w:rsidTr="00431751">
        <w:trPr>
          <w:tblCellSpacing w:w="0" w:type="dxa"/>
        </w:trPr>
        <w:tc>
          <w:tcPr>
            <w:tcW w:w="0" w:type="auto"/>
            <w:hideMark/>
          </w:tcPr>
          <w:p w14:paraId="4F66EECB" w14:textId="67E6A436" w:rsidR="00B422A2" w:rsidRPr="00D573FE" w:rsidRDefault="00B422A2" w:rsidP="00431751">
            <w:pPr>
              <w:spacing w:after="0"/>
              <w:rPr>
                <w:rFonts w:eastAsia="Times New Roman" w:cstheme="minorHAnsi"/>
                <w:color w:val="000000" w:themeColor="text1"/>
                <w:sz w:val="20"/>
                <w:szCs w:val="20"/>
                <w:lang w:eastAsia="en-GB"/>
              </w:rPr>
            </w:pPr>
            <w:r w:rsidRPr="00D573FE">
              <w:rPr>
                <w:rFonts w:eastAsia="Times New Roman" w:cstheme="minorHAnsi"/>
                <w:b/>
                <w:bCs/>
                <w:color w:val="000000" w:themeColor="text1"/>
                <w:sz w:val="20"/>
                <w:szCs w:val="20"/>
                <w:lang w:eastAsia="en-GB"/>
              </w:rPr>
              <w:t>Mining, Minerals &amp; Metals plc</w:t>
            </w:r>
          </w:p>
          <w:p w14:paraId="55CFEF0B" w14:textId="00C1E929" w:rsidR="00B422A2" w:rsidRPr="00D573FE" w:rsidRDefault="00B422A2" w:rsidP="00431751">
            <w:pPr>
              <w:spacing w:after="0"/>
              <w:rPr>
                <w:rFonts w:eastAsia="Times New Roman" w:cstheme="minorHAnsi"/>
                <w:color w:val="000000" w:themeColor="text1"/>
                <w:sz w:val="20"/>
                <w:szCs w:val="20"/>
                <w:lang w:eastAsia="en-GB"/>
              </w:rPr>
            </w:pPr>
            <w:r w:rsidRPr="00D573FE">
              <w:rPr>
                <w:rFonts w:eastAsia="Times New Roman" w:cstheme="minorHAnsi"/>
                <w:color w:val="000000" w:themeColor="text1"/>
                <w:sz w:val="20"/>
                <w:szCs w:val="20"/>
                <w:lang w:eastAsia="en-GB"/>
              </w:rPr>
              <w:t>Roy Pitchford, Non-Executive Director</w:t>
            </w:r>
          </w:p>
          <w:p w14:paraId="4BF9AE2D" w14:textId="77777777" w:rsidR="00B422A2" w:rsidRPr="00D573FE" w:rsidRDefault="00B422A2" w:rsidP="00223D83">
            <w:pPr>
              <w:spacing w:after="0"/>
              <w:rPr>
                <w:rFonts w:eastAsia="Times New Roman" w:cstheme="minorHAnsi"/>
                <w:color w:val="000000" w:themeColor="text1"/>
                <w:sz w:val="20"/>
                <w:szCs w:val="20"/>
                <w:lang w:eastAsia="en-GB"/>
              </w:rPr>
            </w:pPr>
          </w:p>
        </w:tc>
        <w:tc>
          <w:tcPr>
            <w:tcW w:w="0" w:type="auto"/>
          </w:tcPr>
          <w:p w14:paraId="449BC5B8" w14:textId="77777777" w:rsidR="00B422A2" w:rsidRPr="00D573FE" w:rsidRDefault="00B422A2" w:rsidP="00431751">
            <w:pPr>
              <w:spacing w:after="0" w:line="240" w:lineRule="auto"/>
              <w:rPr>
                <w:rFonts w:eastAsia="Times New Roman" w:cstheme="minorHAnsi"/>
                <w:color w:val="000000" w:themeColor="text1"/>
                <w:sz w:val="20"/>
                <w:szCs w:val="20"/>
                <w:lang w:eastAsia="en-GB"/>
              </w:rPr>
            </w:pPr>
          </w:p>
        </w:tc>
      </w:tr>
      <w:tr w:rsidR="00B422A2" w:rsidRPr="00D573FE" w14:paraId="447DE330" w14:textId="77777777" w:rsidTr="00431751">
        <w:trPr>
          <w:tblCellSpacing w:w="0" w:type="dxa"/>
        </w:trPr>
        <w:tc>
          <w:tcPr>
            <w:tcW w:w="0" w:type="auto"/>
            <w:hideMark/>
          </w:tcPr>
          <w:p w14:paraId="4B75270D" w14:textId="7E0892EB" w:rsidR="00EB57CA" w:rsidRPr="00D573FE" w:rsidRDefault="00B422A2" w:rsidP="00431751">
            <w:pPr>
              <w:spacing w:after="0" w:line="240" w:lineRule="auto"/>
              <w:rPr>
                <w:rFonts w:eastAsia="Times New Roman" w:cstheme="minorHAnsi"/>
                <w:color w:val="000000" w:themeColor="text1"/>
                <w:sz w:val="20"/>
                <w:szCs w:val="20"/>
                <w:lang w:eastAsia="en-GB"/>
              </w:rPr>
            </w:pPr>
            <w:r w:rsidRPr="00D573FE">
              <w:rPr>
                <w:rFonts w:eastAsia="Times New Roman" w:cstheme="minorHAnsi"/>
                <w:b/>
                <w:bCs/>
                <w:color w:val="000000" w:themeColor="text1"/>
                <w:sz w:val="20"/>
                <w:szCs w:val="20"/>
                <w:lang w:eastAsia="en-GB"/>
              </w:rPr>
              <w:t>VSA Capital Limited – Financial Adviser and Broker</w:t>
            </w:r>
            <w:r w:rsidRPr="00D573FE">
              <w:rPr>
                <w:rFonts w:cstheme="minorHAnsi"/>
                <w:color w:val="000000" w:themeColor="text1"/>
              </w:rPr>
              <w:br/>
            </w:r>
            <w:r w:rsidRPr="00D573FE">
              <w:rPr>
                <w:rFonts w:eastAsia="Times New Roman" w:cstheme="minorHAnsi"/>
                <w:color w:val="000000" w:themeColor="text1"/>
                <w:sz w:val="20"/>
                <w:szCs w:val="20"/>
                <w:lang w:eastAsia="en-GB"/>
              </w:rPr>
              <w:t>Andrew Raca</w:t>
            </w:r>
          </w:p>
          <w:p w14:paraId="541E22EA" w14:textId="75BF55A6" w:rsidR="00B422A2" w:rsidRPr="00D573FE" w:rsidRDefault="00C822F7" w:rsidP="00431751">
            <w:pPr>
              <w:spacing w:after="0" w:line="240" w:lineRule="auto"/>
              <w:rPr>
                <w:rFonts w:eastAsia="Times New Roman" w:cstheme="minorHAnsi"/>
                <w:color w:val="000000" w:themeColor="text1"/>
                <w:sz w:val="20"/>
                <w:szCs w:val="20"/>
                <w:lang w:eastAsia="en-GB"/>
              </w:rPr>
            </w:pPr>
            <w:r>
              <w:rPr>
                <w:rFonts w:cstheme="minorHAnsi"/>
                <w:color w:val="000000" w:themeColor="text1"/>
                <w:sz w:val="20"/>
                <w:szCs w:val="20"/>
              </w:rPr>
              <w:t>M</w:t>
            </w:r>
            <w:r>
              <w:rPr>
                <w:sz w:val="20"/>
                <w:szCs w:val="20"/>
              </w:rPr>
              <w:t>aciek Szymanski</w:t>
            </w:r>
            <w:r w:rsidR="00B422A2" w:rsidRPr="00D573FE">
              <w:rPr>
                <w:rFonts w:cstheme="minorHAnsi"/>
                <w:color w:val="000000" w:themeColor="text1"/>
              </w:rPr>
              <w:br/>
            </w:r>
          </w:p>
        </w:tc>
        <w:tc>
          <w:tcPr>
            <w:tcW w:w="0" w:type="auto"/>
            <w:hideMark/>
          </w:tcPr>
          <w:p w14:paraId="232E5BA1" w14:textId="77777777" w:rsidR="00B422A2" w:rsidRPr="00D573FE" w:rsidRDefault="00B422A2" w:rsidP="00431751">
            <w:pPr>
              <w:spacing w:after="0" w:line="240" w:lineRule="auto"/>
              <w:rPr>
                <w:rFonts w:eastAsia="Times New Roman" w:cstheme="minorHAnsi"/>
                <w:color w:val="000000" w:themeColor="text1"/>
                <w:sz w:val="20"/>
                <w:szCs w:val="20"/>
                <w:lang w:eastAsia="en-GB"/>
              </w:rPr>
            </w:pPr>
            <w:r w:rsidRPr="00D573FE">
              <w:rPr>
                <w:rFonts w:eastAsia="Times New Roman" w:cstheme="minorHAnsi"/>
                <w:b/>
                <w:bCs/>
                <w:color w:val="000000" w:themeColor="text1"/>
                <w:sz w:val="20"/>
                <w:szCs w:val="20"/>
                <w:lang w:eastAsia="en-GB"/>
              </w:rPr>
              <w:t>+44 (0) 20 3005 5000</w:t>
            </w:r>
          </w:p>
        </w:tc>
      </w:tr>
    </w:tbl>
    <w:p w14:paraId="42561F67" w14:textId="77777777" w:rsidR="00316722" w:rsidRPr="00D573FE" w:rsidRDefault="00316722" w:rsidP="00B422A2">
      <w:pPr>
        <w:rPr>
          <w:rFonts w:cstheme="minorHAnsi"/>
          <w:color w:val="000000" w:themeColor="text1"/>
        </w:rPr>
      </w:pPr>
    </w:p>
    <w:sectPr w:rsidR="00316722" w:rsidRPr="00D573FE" w:rsidSect="00A6402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7E4"/>
    <w:multiLevelType w:val="hybridMultilevel"/>
    <w:tmpl w:val="B9DE0F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3B6C92"/>
    <w:multiLevelType w:val="hybridMultilevel"/>
    <w:tmpl w:val="3524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9124A4"/>
    <w:multiLevelType w:val="hybridMultilevel"/>
    <w:tmpl w:val="E2A80C1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15:restartNumberingAfterBreak="0">
    <w:nsid w:val="48D96EF9"/>
    <w:multiLevelType w:val="hybridMultilevel"/>
    <w:tmpl w:val="3524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9581A7C"/>
    <w:multiLevelType w:val="hybridMultilevel"/>
    <w:tmpl w:val="B9DE0F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FD36B4"/>
    <w:multiLevelType w:val="hybridMultilevel"/>
    <w:tmpl w:val="CEB2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22"/>
    <w:rsid w:val="0002555C"/>
    <w:rsid w:val="00057129"/>
    <w:rsid w:val="00071BCC"/>
    <w:rsid w:val="000772C8"/>
    <w:rsid w:val="0008470A"/>
    <w:rsid w:val="000B2ADA"/>
    <w:rsid w:val="000F407D"/>
    <w:rsid w:val="000F6572"/>
    <w:rsid w:val="00116DEB"/>
    <w:rsid w:val="001325FC"/>
    <w:rsid w:val="00150F01"/>
    <w:rsid w:val="00155ECF"/>
    <w:rsid w:val="001820A1"/>
    <w:rsid w:val="00191AF3"/>
    <w:rsid w:val="001A1FBD"/>
    <w:rsid w:val="001B3853"/>
    <w:rsid w:val="001C6CBE"/>
    <w:rsid w:val="00223D83"/>
    <w:rsid w:val="0023377D"/>
    <w:rsid w:val="002540B4"/>
    <w:rsid w:val="002711B4"/>
    <w:rsid w:val="00271AB8"/>
    <w:rsid w:val="00290564"/>
    <w:rsid w:val="00290579"/>
    <w:rsid w:val="00316722"/>
    <w:rsid w:val="00320D56"/>
    <w:rsid w:val="003523E1"/>
    <w:rsid w:val="00387BDC"/>
    <w:rsid w:val="00397DF3"/>
    <w:rsid w:val="003A639D"/>
    <w:rsid w:val="003C1383"/>
    <w:rsid w:val="00401B24"/>
    <w:rsid w:val="0042162A"/>
    <w:rsid w:val="004E2E76"/>
    <w:rsid w:val="00546CC2"/>
    <w:rsid w:val="005A463E"/>
    <w:rsid w:val="005B426F"/>
    <w:rsid w:val="005C102C"/>
    <w:rsid w:val="005E2962"/>
    <w:rsid w:val="00600E6B"/>
    <w:rsid w:val="006156CF"/>
    <w:rsid w:val="00625844"/>
    <w:rsid w:val="00647044"/>
    <w:rsid w:val="00656A16"/>
    <w:rsid w:val="0066100F"/>
    <w:rsid w:val="00683CE2"/>
    <w:rsid w:val="00695C56"/>
    <w:rsid w:val="006A0E2B"/>
    <w:rsid w:val="006A1ABE"/>
    <w:rsid w:val="006A37D8"/>
    <w:rsid w:val="006A566A"/>
    <w:rsid w:val="00711B56"/>
    <w:rsid w:val="007141CF"/>
    <w:rsid w:val="00723615"/>
    <w:rsid w:val="007A20F5"/>
    <w:rsid w:val="007B39F1"/>
    <w:rsid w:val="007C1F93"/>
    <w:rsid w:val="00831BDF"/>
    <w:rsid w:val="00875EF0"/>
    <w:rsid w:val="00875F9C"/>
    <w:rsid w:val="008B5003"/>
    <w:rsid w:val="008D7171"/>
    <w:rsid w:val="008E4F3C"/>
    <w:rsid w:val="00923915"/>
    <w:rsid w:val="009569E5"/>
    <w:rsid w:val="00957FB9"/>
    <w:rsid w:val="009A192B"/>
    <w:rsid w:val="009E07C4"/>
    <w:rsid w:val="00A43C58"/>
    <w:rsid w:val="00A46DBB"/>
    <w:rsid w:val="00A64025"/>
    <w:rsid w:val="00A95C37"/>
    <w:rsid w:val="00AB0B37"/>
    <w:rsid w:val="00AB35C1"/>
    <w:rsid w:val="00AF595F"/>
    <w:rsid w:val="00B07A8B"/>
    <w:rsid w:val="00B33EF7"/>
    <w:rsid w:val="00B422A2"/>
    <w:rsid w:val="00B72E1F"/>
    <w:rsid w:val="00B76DD5"/>
    <w:rsid w:val="00B945DE"/>
    <w:rsid w:val="00BA63AD"/>
    <w:rsid w:val="00BA7680"/>
    <w:rsid w:val="00BC0688"/>
    <w:rsid w:val="00BC6EDF"/>
    <w:rsid w:val="00BF02FC"/>
    <w:rsid w:val="00C023A2"/>
    <w:rsid w:val="00C05B73"/>
    <w:rsid w:val="00C24189"/>
    <w:rsid w:val="00C257CA"/>
    <w:rsid w:val="00C2685E"/>
    <w:rsid w:val="00C540BE"/>
    <w:rsid w:val="00C8018B"/>
    <w:rsid w:val="00C822F7"/>
    <w:rsid w:val="00C845C6"/>
    <w:rsid w:val="00CA1F6A"/>
    <w:rsid w:val="00CB1E83"/>
    <w:rsid w:val="00D01065"/>
    <w:rsid w:val="00D06B90"/>
    <w:rsid w:val="00D30402"/>
    <w:rsid w:val="00D519C6"/>
    <w:rsid w:val="00D573FE"/>
    <w:rsid w:val="00D86BC5"/>
    <w:rsid w:val="00DA1B4C"/>
    <w:rsid w:val="00DA4B6B"/>
    <w:rsid w:val="00E17873"/>
    <w:rsid w:val="00E3396F"/>
    <w:rsid w:val="00E5688C"/>
    <w:rsid w:val="00E87CB1"/>
    <w:rsid w:val="00EB57CA"/>
    <w:rsid w:val="00ED3933"/>
    <w:rsid w:val="00EF2896"/>
    <w:rsid w:val="00F40D06"/>
    <w:rsid w:val="00F46C55"/>
    <w:rsid w:val="00F8497C"/>
    <w:rsid w:val="00F8612B"/>
    <w:rsid w:val="00F90E89"/>
    <w:rsid w:val="00FD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9BFE"/>
  <w15:chartTrackingRefBased/>
  <w15:docId w15:val="{1070D0D9-0ECA-489C-B1EC-265130F3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22"/>
    <w:pPr>
      <w:spacing w:line="256" w:lineRule="auto"/>
    </w:pPr>
  </w:style>
  <w:style w:type="paragraph" w:styleId="Heading5">
    <w:name w:val="heading 5"/>
    <w:basedOn w:val="Normal"/>
    <w:link w:val="Heading5Char"/>
    <w:uiPriority w:val="9"/>
    <w:qFormat/>
    <w:rsid w:val="00B72E1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22"/>
    <w:pPr>
      <w:ind w:left="720"/>
      <w:contextualSpacing/>
    </w:pPr>
  </w:style>
  <w:style w:type="paragraph" w:customStyle="1" w:styleId="bv">
    <w:name w:val="bv"/>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
    <w:name w:val="br"/>
    <w:basedOn w:val="DefaultParagraphFont"/>
    <w:rsid w:val="00316722"/>
  </w:style>
  <w:style w:type="paragraph" w:customStyle="1" w:styleId="bt">
    <w:name w:val="bt"/>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
    <w:name w:val="bu"/>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w">
    <w:name w:val="bw"/>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n">
    <w:name w:val="bn"/>
    <w:basedOn w:val="DefaultParagraphFont"/>
    <w:rsid w:val="00316722"/>
  </w:style>
  <w:style w:type="paragraph" w:customStyle="1" w:styleId="bx">
    <w:name w:val="bx"/>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
    <w:name w:val="bl"/>
    <w:basedOn w:val="DefaultParagraphFont"/>
    <w:rsid w:val="00316722"/>
  </w:style>
  <w:style w:type="paragraph" w:customStyle="1" w:styleId="by">
    <w:name w:val="by"/>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j">
    <w:name w:val="bj"/>
    <w:basedOn w:val="DefaultParagraphFont"/>
    <w:rsid w:val="00316722"/>
  </w:style>
  <w:style w:type="paragraph" w:customStyle="1" w:styleId="bz">
    <w:name w:val="bz"/>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316722"/>
  </w:style>
  <w:style w:type="paragraph" w:customStyle="1" w:styleId="cc">
    <w:name w:val="cc"/>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d">
    <w:name w:val="cd"/>
    <w:basedOn w:val="Normal"/>
    <w:rsid w:val="0031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B72E1F"/>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E2E76"/>
    <w:rPr>
      <w:color w:val="0563C1" w:themeColor="hyperlink"/>
      <w:u w:val="single"/>
    </w:rPr>
  </w:style>
  <w:style w:type="character" w:styleId="UnresolvedMention">
    <w:name w:val="Unresolved Mention"/>
    <w:basedOn w:val="DefaultParagraphFont"/>
    <w:uiPriority w:val="99"/>
    <w:semiHidden/>
    <w:unhideWhenUsed/>
    <w:rsid w:val="004E2E76"/>
    <w:rPr>
      <w:color w:val="605E5C"/>
      <w:shd w:val="clear" w:color="auto" w:fill="E1DFDD"/>
    </w:rPr>
  </w:style>
  <w:style w:type="table" w:styleId="TableGrid">
    <w:name w:val="Table Grid"/>
    <w:basedOn w:val="TableNormal"/>
    <w:rsid w:val="00B4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1B24"/>
    <w:rPr>
      <w:i/>
      <w:iCs/>
    </w:rPr>
  </w:style>
  <w:style w:type="paragraph" w:styleId="NormalWeb">
    <w:name w:val="Normal (Web)"/>
    <w:basedOn w:val="Normal"/>
    <w:uiPriority w:val="99"/>
    <w:unhideWhenUsed/>
    <w:rsid w:val="006A3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5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44"/>
    <w:rPr>
      <w:rFonts w:ascii="Segoe UI" w:hAnsi="Segoe UI" w:cs="Segoe UI"/>
      <w:sz w:val="18"/>
      <w:szCs w:val="18"/>
    </w:rPr>
  </w:style>
  <w:style w:type="paragraph" w:customStyle="1" w:styleId="bq">
    <w:name w:val="bq"/>
    <w:basedOn w:val="Normal"/>
    <w:rsid w:val="00C84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33EF7"/>
    <w:rPr>
      <w:sz w:val="16"/>
      <w:szCs w:val="16"/>
    </w:rPr>
  </w:style>
  <w:style w:type="paragraph" w:styleId="CommentText">
    <w:name w:val="annotation text"/>
    <w:basedOn w:val="Normal"/>
    <w:link w:val="CommentTextChar"/>
    <w:uiPriority w:val="99"/>
    <w:semiHidden/>
    <w:unhideWhenUsed/>
    <w:rsid w:val="00B33EF7"/>
    <w:pPr>
      <w:spacing w:line="240" w:lineRule="auto"/>
    </w:pPr>
    <w:rPr>
      <w:sz w:val="20"/>
      <w:szCs w:val="20"/>
    </w:rPr>
  </w:style>
  <w:style w:type="character" w:customStyle="1" w:styleId="CommentTextChar">
    <w:name w:val="Comment Text Char"/>
    <w:basedOn w:val="DefaultParagraphFont"/>
    <w:link w:val="CommentText"/>
    <w:uiPriority w:val="99"/>
    <w:semiHidden/>
    <w:rsid w:val="00B33EF7"/>
    <w:rPr>
      <w:sz w:val="20"/>
      <w:szCs w:val="20"/>
    </w:rPr>
  </w:style>
  <w:style w:type="paragraph" w:styleId="CommentSubject">
    <w:name w:val="annotation subject"/>
    <w:basedOn w:val="CommentText"/>
    <w:next w:val="CommentText"/>
    <w:link w:val="CommentSubjectChar"/>
    <w:uiPriority w:val="99"/>
    <w:semiHidden/>
    <w:unhideWhenUsed/>
    <w:rsid w:val="00B33EF7"/>
    <w:rPr>
      <w:b/>
      <w:bCs/>
    </w:rPr>
  </w:style>
  <w:style w:type="character" w:customStyle="1" w:styleId="CommentSubjectChar">
    <w:name w:val="Comment Subject Char"/>
    <w:basedOn w:val="CommentTextChar"/>
    <w:link w:val="CommentSubject"/>
    <w:uiPriority w:val="99"/>
    <w:semiHidden/>
    <w:rsid w:val="00B33EF7"/>
    <w:rPr>
      <w:b/>
      <w:bCs/>
      <w:sz w:val="20"/>
      <w:szCs w:val="20"/>
    </w:rPr>
  </w:style>
  <w:style w:type="character" w:styleId="PlaceholderText">
    <w:name w:val="Placeholder Text"/>
    <w:basedOn w:val="DefaultParagraphFont"/>
    <w:uiPriority w:val="99"/>
    <w:semiHidden/>
    <w:rsid w:val="000B2ADA"/>
    <w:rPr>
      <w:color w:val="808080"/>
    </w:rPr>
  </w:style>
  <w:style w:type="paragraph" w:styleId="Revision">
    <w:name w:val="Revision"/>
    <w:hidden/>
    <w:uiPriority w:val="99"/>
    <w:semiHidden/>
    <w:rsid w:val="00B76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1517">
      <w:bodyDiv w:val="1"/>
      <w:marLeft w:val="0"/>
      <w:marRight w:val="0"/>
      <w:marTop w:val="0"/>
      <w:marBottom w:val="0"/>
      <w:divBdr>
        <w:top w:val="none" w:sz="0" w:space="0" w:color="auto"/>
        <w:left w:val="none" w:sz="0" w:space="0" w:color="auto"/>
        <w:bottom w:val="none" w:sz="0" w:space="0" w:color="auto"/>
        <w:right w:val="none" w:sz="0" w:space="0" w:color="auto"/>
      </w:divBdr>
    </w:div>
    <w:div w:id="310838077">
      <w:bodyDiv w:val="1"/>
      <w:marLeft w:val="0"/>
      <w:marRight w:val="0"/>
      <w:marTop w:val="0"/>
      <w:marBottom w:val="0"/>
      <w:divBdr>
        <w:top w:val="none" w:sz="0" w:space="0" w:color="auto"/>
        <w:left w:val="none" w:sz="0" w:space="0" w:color="auto"/>
        <w:bottom w:val="none" w:sz="0" w:space="0" w:color="auto"/>
        <w:right w:val="none" w:sz="0" w:space="0" w:color="auto"/>
      </w:divBdr>
    </w:div>
    <w:div w:id="54545809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1049916779">
      <w:bodyDiv w:val="1"/>
      <w:marLeft w:val="0"/>
      <w:marRight w:val="0"/>
      <w:marTop w:val="0"/>
      <w:marBottom w:val="0"/>
      <w:divBdr>
        <w:top w:val="none" w:sz="0" w:space="0" w:color="auto"/>
        <w:left w:val="none" w:sz="0" w:space="0" w:color="auto"/>
        <w:bottom w:val="none" w:sz="0" w:space="0" w:color="auto"/>
        <w:right w:val="none" w:sz="0" w:space="0" w:color="auto"/>
      </w:divBdr>
    </w:div>
    <w:div w:id="1138496183">
      <w:bodyDiv w:val="1"/>
      <w:marLeft w:val="0"/>
      <w:marRight w:val="0"/>
      <w:marTop w:val="0"/>
      <w:marBottom w:val="0"/>
      <w:divBdr>
        <w:top w:val="none" w:sz="0" w:space="0" w:color="auto"/>
        <w:left w:val="none" w:sz="0" w:space="0" w:color="auto"/>
        <w:bottom w:val="none" w:sz="0" w:space="0" w:color="auto"/>
        <w:right w:val="none" w:sz="0" w:space="0" w:color="auto"/>
      </w:divBdr>
    </w:div>
    <w:div w:id="1321542091">
      <w:bodyDiv w:val="1"/>
      <w:marLeft w:val="0"/>
      <w:marRight w:val="0"/>
      <w:marTop w:val="0"/>
      <w:marBottom w:val="0"/>
      <w:divBdr>
        <w:top w:val="none" w:sz="0" w:space="0" w:color="auto"/>
        <w:left w:val="none" w:sz="0" w:space="0" w:color="auto"/>
        <w:bottom w:val="none" w:sz="0" w:space="0" w:color="auto"/>
        <w:right w:val="none" w:sz="0" w:space="0" w:color="auto"/>
      </w:divBdr>
    </w:div>
    <w:div w:id="1424841152">
      <w:bodyDiv w:val="1"/>
      <w:marLeft w:val="0"/>
      <w:marRight w:val="0"/>
      <w:marTop w:val="0"/>
      <w:marBottom w:val="0"/>
      <w:divBdr>
        <w:top w:val="none" w:sz="0" w:space="0" w:color="auto"/>
        <w:left w:val="none" w:sz="0" w:space="0" w:color="auto"/>
        <w:bottom w:val="none" w:sz="0" w:space="0" w:color="auto"/>
        <w:right w:val="none" w:sz="0" w:space="0" w:color="auto"/>
      </w:divBdr>
    </w:div>
    <w:div w:id="1572889988">
      <w:bodyDiv w:val="1"/>
      <w:marLeft w:val="0"/>
      <w:marRight w:val="0"/>
      <w:marTop w:val="0"/>
      <w:marBottom w:val="0"/>
      <w:divBdr>
        <w:top w:val="none" w:sz="0" w:space="0" w:color="auto"/>
        <w:left w:val="none" w:sz="0" w:space="0" w:color="auto"/>
        <w:bottom w:val="none" w:sz="0" w:space="0" w:color="auto"/>
        <w:right w:val="none" w:sz="0" w:space="0" w:color="auto"/>
      </w:divBdr>
    </w:div>
    <w:div w:id="16175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mpl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F1B24-D63F-44C8-ABB7-8B4C31DE16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e02c00-95f3-43a1-a8e3-c976a5c03504"/>
    <ds:schemaRef ds:uri="9eaf5c2d-4127-48ef-b34b-d204a0b13635"/>
    <ds:schemaRef ds:uri="http://www.w3.org/XML/1998/namespace"/>
  </ds:schemaRefs>
</ds:datastoreItem>
</file>

<file path=customXml/itemProps2.xml><?xml version="1.0" encoding="utf-8"?>
<ds:datastoreItem xmlns:ds="http://schemas.openxmlformats.org/officeDocument/2006/customXml" ds:itemID="{65AE343B-2514-4E3D-BBCA-D516830B521C}">
  <ds:schemaRefs>
    <ds:schemaRef ds:uri="http://schemas.microsoft.com/sharepoint/v3/contenttype/forms"/>
  </ds:schemaRefs>
</ds:datastoreItem>
</file>

<file path=customXml/itemProps3.xml><?xml version="1.0" encoding="utf-8"?>
<ds:datastoreItem xmlns:ds="http://schemas.openxmlformats.org/officeDocument/2006/customXml" ds:itemID="{72EE8799-B37B-47E4-9361-B9D6AB812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Urquhart</dc:creator>
  <cp:keywords/>
  <dc:description/>
  <cp:lastModifiedBy>Sean Urquhart</cp:lastModifiedBy>
  <cp:revision>2</cp:revision>
  <dcterms:created xsi:type="dcterms:W3CDTF">2021-02-15T05:59:00Z</dcterms:created>
  <dcterms:modified xsi:type="dcterms:W3CDTF">2021-02-15T05:59:00Z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