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FF4A" w14:textId="4E8F21E5" w:rsidR="003802C9" w:rsidRPr="00D8030A" w:rsidRDefault="006554E4" w:rsidP="00D8030A">
      <w:pPr>
        <w:rPr>
          <w:rFonts w:cs="Arial"/>
          <w:lang w:eastAsia="en-GB"/>
        </w:rPr>
      </w:pPr>
      <w:r w:rsidRPr="00D8030A">
        <w:rPr>
          <w:rFonts w:cs="Arial"/>
          <w:lang w:eastAsia="en-GB"/>
        </w:rPr>
        <w:t>2</w:t>
      </w:r>
      <w:r w:rsidR="00D8030A" w:rsidRPr="00D8030A">
        <w:rPr>
          <w:rFonts w:cs="Arial"/>
          <w:lang w:eastAsia="en-GB"/>
        </w:rPr>
        <w:t>8</w:t>
      </w:r>
      <w:r w:rsidRPr="00D8030A">
        <w:rPr>
          <w:rFonts w:cs="Arial"/>
          <w:lang w:eastAsia="en-GB"/>
        </w:rPr>
        <w:t xml:space="preserve"> May 2021</w:t>
      </w:r>
    </w:p>
    <w:p w14:paraId="3599AC54" w14:textId="77777777" w:rsidR="001C22E6" w:rsidRDefault="001C22E6" w:rsidP="001C22E6">
      <w:pPr>
        <w:pStyle w:val="cb"/>
        <w:spacing w:before="0" w:beforeAutospacing="0"/>
        <w:jc w:val="center"/>
        <w:rPr>
          <w:rFonts w:ascii="Calibri" w:eastAsia="Calibri" w:hAnsi="Calibri"/>
          <w:b/>
          <w:bCs/>
          <w:sz w:val="28"/>
          <w:szCs w:val="28"/>
        </w:rPr>
      </w:pPr>
    </w:p>
    <w:p w14:paraId="3C39CC1B" w14:textId="61131F03" w:rsidR="001C22E6" w:rsidRPr="001C22E6" w:rsidRDefault="001C22E6" w:rsidP="001C22E6">
      <w:pPr>
        <w:pStyle w:val="cb"/>
        <w:spacing w:before="0" w:beforeAutospacing="0"/>
        <w:jc w:val="center"/>
        <w:rPr>
          <w:rFonts w:ascii="Calibri" w:eastAsia="Calibri" w:hAnsi="Calibri" w:cs="Arial"/>
          <w:b/>
          <w:bCs/>
          <w:sz w:val="28"/>
          <w:szCs w:val="28"/>
        </w:rPr>
      </w:pPr>
      <w:r w:rsidRPr="001C22E6">
        <w:rPr>
          <w:rFonts w:ascii="Calibri" w:eastAsia="Calibri" w:hAnsi="Calibri"/>
          <w:b/>
          <w:bCs/>
          <w:sz w:val="28"/>
          <w:szCs w:val="28"/>
        </w:rPr>
        <w:t>Mining, Minerals &amp; Metals plc</w:t>
      </w:r>
    </w:p>
    <w:p w14:paraId="3932C23C" w14:textId="4CF6E521" w:rsidR="003802C9" w:rsidRPr="00D8030A" w:rsidRDefault="006554E4" w:rsidP="00D8030A">
      <w:pPr>
        <w:jc w:val="center"/>
        <w:rPr>
          <w:rFonts w:cs="Arial"/>
          <w:lang w:eastAsia="en-GB"/>
        </w:rPr>
      </w:pPr>
      <w:r w:rsidRPr="00D8030A">
        <w:rPr>
          <w:rFonts w:cs="Arial"/>
          <w:lang w:eastAsia="en-GB"/>
        </w:rPr>
        <w:t>Annual Report &amp; Financial Statements</w:t>
      </w:r>
    </w:p>
    <w:p w14:paraId="055676AB" w14:textId="77777777" w:rsidR="001C22E6" w:rsidRDefault="001C22E6" w:rsidP="00D8030A">
      <w:pPr>
        <w:autoSpaceDE w:val="0"/>
        <w:spacing w:after="240" w:line="240" w:lineRule="auto"/>
        <w:jc w:val="both"/>
        <w:rPr>
          <w:rFonts w:cstheme="minorBidi"/>
        </w:rPr>
      </w:pPr>
    </w:p>
    <w:p w14:paraId="7EDABE81" w14:textId="04F7FCBD" w:rsidR="00D8030A" w:rsidRPr="00D8030A" w:rsidRDefault="00D8030A" w:rsidP="00D8030A">
      <w:pPr>
        <w:autoSpaceDE w:val="0"/>
        <w:spacing w:after="240" w:line="240" w:lineRule="auto"/>
        <w:jc w:val="both"/>
        <w:rPr>
          <w:rFonts w:cs="Arial"/>
          <w:lang w:eastAsia="en-GB"/>
        </w:rPr>
      </w:pPr>
      <w:r>
        <w:rPr>
          <w:rFonts w:cstheme="minorBidi"/>
        </w:rPr>
        <w:t xml:space="preserve">Mining, Minerals and Metals </w:t>
      </w:r>
      <w:r w:rsidR="00E1422A">
        <w:rPr>
          <w:rFonts w:cstheme="minorBidi"/>
        </w:rPr>
        <w:t>plc</w:t>
      </w:r>
      <w:r>
        <w:rPr>
          <w:rFonts w:cstheme="minorBidi"/>
        </w:rPr>
        <w:t xml:space="preserve"> (“</w:t>
      </w:r>
      <w:r w:rsidRPr="00D8030A">
        <w:rPr>
          <w:rFonts w:cs="Arial"/>
          <w:lang w:eastAsia="en-GB"/>
        </w:rPr>
        <w:t>MMM” or the “Company”) present</w:t>
      </w:r>
      <w:r w:rsidR="009A5B0C">
        <w:rPr>
          <w:rFonts w:cs="Arial"/>
          <w:lang w:eastAsia="en-GB"/>
        </w:rPr>
        <w:t>s</w:t>
      </w:r>
      <w:r w:rsidRPr="00D8030A">
        <w:rPr>
          <w:rFonts w:cs="Arial"/>
          <w:lang w:eastAsia="en-GB"/>
        </w:rPr>
        <w:t xml:space="preserve"> its audited financial statements for the </w:t>
      </w:r>
      <w:r w:rsidR="009A5B0C">
        <w:rPr>
          <w:rFonts w:cs="Arial"/>
          <w:lang w:eastAsia="en-GB"/>
        </w:rPr>
        <w:t>twelve</w:t>
      </w:r>
      <w:r w:rsidRPr="00D8030A">
        <w:rPr>
          <w:rFonts w:cs="Arial"/>
          <w:lang w:eastAsia="en-GB"/>
        </w:rPr>
        <w:t xml:space="preserve"> months ended 31 </w:t>
      </w:r>
      <w:r w:rsidR="00573334">
        <w:rPr>
          <w:rFonts w:cs="Arial"/>
          <w:lang w:eastAsia="en-GB"/>
        </w:rPr>
        <w:t xml:space="preserve">January </w:t>
      </w:r>
      <w:r w:rsidRPr="00D8030A">
        <w:rPr>
          <w:rFonts w:cs="Arial"/>
          <w:lang w:eastAsia="en-GB"/>
        </w:rPr>
        <w:t>202</w:t>
      </w:r>
      <w:r w:rsidR="00573334">
        <w:rPr>
          <w:rFonts w:cs="Arial"/>
          <w:lang w:eastAsia="en-GB"/>
        </w:rPr>
        <w:t>1</w:t>
      </w:r>
      <w:r w:rsidRPr="00D8030A">
        <w:rPr>
          <w:rFonts w:cs="Arial"/>
          <w:lang w:eastAsia="en-GB"/>
        </w:rPr>
        <w:t xml:space="preserve"> (“Financial Statements”) as extracted from the Company’s Annual Report which is now available on the Company website at </w:t>
      </w:r>
      <w:hyperlink w:history="1">
        <w:r w:rsidRPr="00D74265">
          <w:rPr>
            <w:rStyle w:val="Hyperlink"/>
            <w:rFonts w:cs="Arial"/>
            <w:lang w:eastAsia="en-GB"/>
          </w:rPr>
          <w:t xml:space="preserve">www.mmmplc.com </w:t>
        </w:r>
      </w:hyperlink>
      <w:r w:rsidRPr="00D8030A">
        <w:rPr>
          <w:rFonts w:cs="Arial"/>
          <w:lang w:eastAsia="en-GB"/>
        </w:rPr>
        <w:t xml:space="preserve"> </w:t>
      </w:r>
      <w:r w:rsidR="00AA0B55">
        <w:rPr>
          <w:rFonts w:cs="Arial"/>
          <w:lang w:eastAsia="en-GB"/>
        </w:rPr>
        <w:t xml:space="preserve">and </w:t>
      </w:r>
      <w:r w:rsidRPr="00D8030A">
        <w:rPr>
          <w:rFonts w:cs="Arial"/>
          <w:lang w:eastAsia="en-GB"/>
        </w:rPr>
        <w:t xml:space="preserve">will be provided to shareholders who have requested a printed or electronic copy.  </w:t>
      </w:r>
    </w:p>
    <w:p w14:paraId="546EA9E0" w14:textId="348F99AE" w:rsidR="001C22E6" w:rsidRPr="001C22E6" w:rsidRDefault="001C22E6" w:rsidP="001C22E6">
      <w:pPr>
        <w:spacing w:after="0" w:line="276" w:lineRule="auto"/>
        <w:rPr>
          <w:rFonts w:cs="Arial"/>
          <w:lang w:eastAsia="en-GB"/>
        </w:rPr>
      </w:pPr>
      <w:r w:rsidRPr="001C22E6">
        <w:rPr>
          <w:rFonts w:cs="Arial"/>
          <w:lang w:eastAsia="en-GB"/>
        </w:rPr>
        <w:t>The Annual Report for the year ended 31 January 2021 is set out in full below.</w:t>
      </w:r>
    </w:p>
    <w:p w14:paraId="7721D59E" w14:textId="77777777" w:rsidR="001C22E6" w:rsidRPr="001C22E6" w:rsidRDefault="001C22E6" w:rsidP="001C22E6">
      <w:pPr>
        <w:spacing w:after="0" w:line="276" w:lineRule="auto"/>
        <w:rPr>
          <w:rFonts w:cs="Arial"/>
          <w:lang w:eastAsia="en-GB"/>
        </w:rPr>
      </w:pPr>
    </w:p>
    <w:p w14:paraId="693EF6AB" w14:textId="11C9BE7F" w:rsidR="00D8030A" w:rsidRPr="00E1422A" w:rsidRDefault="00D8030A" w:rsidP="00E1422A">
      <w:pPr>
        <w:autoSpaceDE w:val="0"/>
        <w:spacing w:after="0" w:line="240" w:lineRule="auto"/>
        <w:rPr>
          <w:rFonts w:ascii="Segoe UI" w:hAnsi="Segoe UI" w:cs="Segoe UI"/>
          <w:b/>
          <w:bCs/>
          <w:sz w:val="20"/>
          <w:szCs w:val="20"/>
        </w:rPr>
      </w:pPr>
      <w:r w:rsidRPr="00E1422A">
        <w:rPr>
          <w:rFonts w:ascii="Segoe UI" w:hAnsi="Segoe UI" w:cs="Segoe UI"/>
          <w:b/>
          <w:bCs/>
          <w:sz w:val="20"/>
          <w:szCs w:val="20"/>
        </w:rPr>
        <w:t>Further information</w:t>
      </w:r>
    </w:p>
    <w:p w14:paraId="5336EA81" w14:textId="4B0ECAA4" w:rsidR="001C22E6" w:rsidRDefault="00D8030A" w:rsidP="00D8030A">
      <w:pPr>
        <w:spacing w:after="100" w:afterAutospacing="1" w:line="240" w:lineRule="auto"/>
        <w:jc w:val="both"/>
        <w:rPr>
          <w:rFonts w:cs="Arial"/>
          <w:lang w:eastAsia="en-GB"/>
        </w:rPr>
      </w:pPr>
      <w:r w:rsidRPr="001C22E6">
        <w:rPr>
          <w:rFonts w:cs="Arial"/>
          <w:lang w:eastAsia="en-GB"/>
        </w:rPr>
        <w:t>For further information, please visit the Company's website: </w:t>
      </w:r>
      <w:hyperlink r:id="rId7" w:history="1">
        <w:r w:rsidRPr="00AA0B55">
          <w:rPr>
            <w:rStyle w:val="Hyperlink"/>
            <w:rFonts w:cs="Arial"/>
            <w:lang w:eastAsia="en-GB"/>
          </w:rPr>
          <w:t>www.mmmplc.com</w:t>
        </w:r>
      </w:hyperlink>
    </w:p>
    <w:p w14:paraId="1180E274" w14:textId="463D01E3" w:rsidR="00E1422A" w:rsidRPr="00E1422A" w:rsidRDefault="00E1422A" w:rsidP="00D8030A">
      <w:pPr>
        <w:spacing w:after="100" w:afterAutospacing="1" w:line="240" w:lineRule="auto"/>
        <w:jc w:val="both"/>
        <w:rPr>
          <w:rFonts w:cs="Arial"/>
          <w:b/>
          <w:bCs/>
          <w:lang w:eastAsia="en-GB"/>
        </w:rPr>
      </w:pPr>
      <w:r w:rsidRPr="00E1422A">
        <w:rPr>
          <w:rFonts w:cs="Arial"/>
          <w:b/>
          <w:bCs/>
          <w:lang w:eastAsia="en-GB"/>
        </w:rPr>
        <w:t xml:space="preserve">- Ends- </w:t>
      </w:r>
    </w:p>
    <w:p w14:paraId="5A4A8633" w14:textId="642C7563" w:rsidR="00D8030A" w:rsidRPr="00D8030A" w:rsidRDefault="00D8030A" w:rsidP="00D8030A">
      <w:pPr>
        <w:autoSpaceDE w:val="0"/>
        <w:spacing w:after="0" w:line="240" w:lineRule="auto"/>
        <w:rPr>
          <w:rFonts w:ascii="Segoe UI" w:hAnsi="Segoe UI" w:cs="Segoe UI"/>
          <w:b/>
          <w:bCs/>
          <w:sz w:val="20"/>
          <w:szCs w:val="20"/>
        </w:rPr>
      </w:pPr>
      <w:r w:rsidRPr="00D8030A">
        <w:rPr>
          <w:rFonts w:ascii="Segoe UI" w:hAnsi="Segoe UI" w:cs="Segoe UI"/>
          <w:b/>
          <w:bCs/>
          <w:sz w:val="20"/>
          <w:szCs w:val="20"/>
        </w:rPr>
        <w:t>Roy Pitchford</w:t>
      </w:r>
    </w:p>
    <w:p w14:paraId="4313B0FD" w14:textId="77777777" w:rsidR="00D8030A" w:rsidRPr="00D8030A" w:rsidRDefault="00D8030A" w:rsidP="00D8030A">
      <w:pPr>
        <w:spacing w:after="0" w:line="240" w:lineRule="auto"/>
        <w:rPr>
          <w:rFonts w:ascii="Segoe UI" w:hAnsi="Segoe UI" w:cs="Segoe UI"/>
          <w:sz w:val="20"/>
          <w:szCs w:val="20"/>
        </w:rPr>
      </w:pPr>
      <w:r w:rsidRPr="00D8030A">
        <w:rPr>
          <w:rFonts w:ascii="Segoe UI" w:hAnsi="Segoe UI" w:cs="Segoe UI"/>
          <w:sz w:val="20"/>
          <w:szCs w:val="20"/>
        </w:rPr>
        <w:t>Non-Executive Chairman</w:t>
      </w:r>
      <w:r>
        <w:rPr>
          <w:rFonts w:ascii="Segoe UI" w:hAnsi="Segoe UI" w:cs="Segoe UI"/>
          <w:sz w:val="20"/>
          <w:szCs w:val="20"/>
        </w:rPr>
        <w:t xml:space="preserve">, </w:t>
      </w:r>
      <w:r w:rsidRPr="00D8030A">
        <w:rPr>
          <w:rFonts w:ascii="Segoe UI" w:hAnsi="Segoe UI" w:cs="Segoe UI"/>
          <w:sz w:val="20"/>
          <w:szCs w:val="20"/>
        </w:rPr>
        <w:t>Mining, Minerals &amp; Metals plc</w:t>
      </w:r>
    </w:p>
    <w:p w14:paraId="18A03860" w14:textId="38A78540" w:rsidR="00D8030A" w:rsidRDefault="00D8030A" w:rsidP="00D8030A">
      <w:pPr>
        <w:autoSpaceDE w:val="0"/>
        <w:spacing w:after="0" w:line="240" w:lineRule="auto"/>
        <w:rPr>
          <w:rFonts w:ascii="Arial" w:eastAsia="Times New Roman" w:hAnsi="Arial" w:cs="Arial"/>
          <w:color w:val="212721"/>
          <w:lang w:eastAsia="en-GB"/>
        </w:rPr>
      </w:pPr>
      <w:r>
        <w:rPr>
          <w:rFonts w:ascii="Segoe UI" w:hAnsi="Segoe UI" w:cs="Segoe UI"/>
          <w:sz w:val="20"/>
          <w:szCs w:val="20"/>
        </w:rPr>
        <w:t xml:space="preserve">Telephone </w:t>
      </w:r>
      <w:r w:rsidRPr="00D8030A">
        <w:rPr>
          <w:rFonts w:ascii="Segoe UI" w:hAnsi="Segoe UI" w:cs="Segoe UI"/>
          <w:sz w:val="20"/>
          <w:szCs w:val="20"/>
        </w:rPr>
        <w:t>+44 (0)20 7317 0644</w:t>
      </w:r>
    </w:p>
    <w:p w14:paraId="7CB7B6CF" w14:textId="64E90CA2" w:rsidR="00D8030A" w:rsidRDefault="00D8030A">
      <w:pPr>
        <w:autoSpaceDE w:val="0"/>
        <w:spacing w:after="200" w:line="240" w:lineRule="auto"/>
        <w:rPr>
          <w:rFonts w:ascii="Segoe UI" w:hAnsi="Segoe UI" w:cs="Segoe UI"/>
          <w:sz w:val="20"/>
          <w:szCs w:val="20"/>
        </w:rPr>
      </w:pPr>
      <w:r w:rsidRPr="00D8030A">
        <w:rPr>
          <w:rFonts w:ascii="Segoe UI" w:hAnsi="Segoe UI" w:cs="Segoe UI"/>
          <w:sz w:val="20"/>
          <w:szCs w:val="20"/>
        </w:rPr>
        <w:t>Email</w:t>
      </w:r>
      <w:r w:rsidR="001C22E6">
        <w:rPr>
          <w:rFonts w:ascii="Segoe UI" w:hAnsi="Segoe UI" w:cs="Segoe UI"/>
          <w:sz w:val="20"/>
          <w:szCs w:val="20"/>
        </w:rPr>
        <w:t xml:space="preserve">: </w:t>
      </w:r>
      <w:hyperlink r:id="rId8" w:history="1">
        <w:r w:rsidR="001C22E6" w:rsidRPr="00D74265">
          <w:rPr>
            <w:rStyle w:val="Hyperlink"/>
            <w:rFonts w:ascii="Segoe UI" w:hAnsi="Segoe UI" w:cs="Segoe UI"/>
            <w:sz w:val="20"/>
            <w:szCs w:val="20"/>
          </w:rPr>
          <w:t>roy@mmmplc.com</w:t>
        </w:r>
      </w:hyperlink>
    </w:p>
    <w:p w14:paraId="541D30E1" w14:textId="12A8EB6B" w:rsidR="00D8030A" w:rsidRPr="00D8030A" w:rsidRDefault="00D8030A" w:rsidP="00D8030A">
      <w:pPr>
        <w:autoSpaceDE w:val="0"/>
        <w:spacing w:after="0" w:line="240" w:lineRule="auto"/>
        <w:rPr>
          <w:rFonts w:ascii="Segoe UI" w:hAnsi="Segoe UI" w:cs="Segoe UI"/>
          <w:b/>
          <w:bCs/>
          <w:sz w:val="20"/>
          <w:szCs w:val="20"/>
        </w:rPr>
      </w:pPr>
      <w:r w:rsidRPr="00D8030A">
        <w:rPr>
          <w:rFonts w:ascii="Segoe UI" w:hAnsi="Segoe UI" w:cs="Segoe UI"/>
          <w:b/>
          <w:bCs/>
          <w:sz w:val="20"/>
          <w:szCs w:val="20"/>
        </w:rPr>
        <w:t>Brandon Hill Capital Limited – Financial Adviser and Broker</w:t>
      </w:r>
    </w:p>
    <w:p w14:paraId="27C12028" w14:textId="3C7A3536" w:rsidR="00D8030A" w:rsidRDefault="00D8030A" w:rsidP="00D8030A">
      <w:pPr>
        <w:autoSpaceDE w:val="0"/>
        <w:spacing w:after="0" w:line="240" w:lineRule="auto"/>
        <w:rPr>
          <w:rFonts w:ascii="Segoe UI" w:hAnsi="Segoe UI" w:cs="Segoe UI"/>
          <w:sz w:val="20"/>
          <w:szCs w:val="20"/>
        </w:rPr>
      </w:pPr>
      <w:r>
        <w:rPr>
          <w:rFonts w:ascii="Segoe UI" w:hAnsi="Segoe UI" w:cs="Segoe UI"/>
          <w:sz w:val="20"/>
          <w:szCs w:val="20"/>
        </w:rPr>
        <w:t xml:space="preserve">Jonathan Evans </w:t>
      </w:r>
    </w:p>
    <w:p w14:paraId="37583D8C" w14:textId="0DAFB0A2" w:rsidR="00D8030A" w:rsidRDefault="00D8030A" w:rsidP="00D8030A">
      <w:pPr>
        <w:autoSpaceDE w:val="0"/>
        <w:spacing w:after="0" w:line="240" w:lineRule="auto"/>
        <w:rPr>
          <w:rFonts w:ascii="Segoe UI" w:hAnsi="Segoe UI" w:cs="Segoe UI"/>
          <w:sz w:val="20"/>
          <w:szCs w:val="20"/>
        </w:rPr>
      </w:pPr>
      <w:r>
        <w:rPr>
          <w:rFonts w:ascii="Segoe UI" w:hAnsi="Segoe UI" w:cs="Segoe UI"/>
          <w:sz w:val="20"/>
          <w:szCs w:val="20"/>
        </w:rPr>
        <w:t xml:space="preserve">Telephone: </w:t>
      </w:r>
      <w:r w:rsidRPr="00D8030A">
        <w:rPr>
          <w:rFonts w:ascii="Segoe UI" w:hAnsi="Segoe UI" w:cs="Segoe UI"/>
          <w:sz w:val="20"/>
          <w:szCs w:val="20"/>
        </w:rPr>
        <w:t>+44 (0)20 3463 5000</w:t>
      </w:r>
    </w:p>
    <w:p w14:paraId="092D62B3" w14:textId="3D951C33" w:rsidR="00D8030A" w:rsidRDefault="00D8030A" w:rsidP="00D8030A">
      <w:pPr>
        <w:autoSpaceDE w:val="0"/>
        <w:spacing w:after="0" w:line="240" w:lineRule="auto"/>
        <w:rPr>
          <w:rFonts w:ascii="Segoe UI" w:hAnsi="Segoe UI" w:cs="Segoe UI"/>
          <w:sz w:val="20"/>
          <w:szCs w:val="20"/>
        </w:rPr>
      </w:pPr>
      <w:r>
        <w:rPr>
          <w:rFonts w:ascii="Segoe UI" w:hAnsi="Segoe UI" w:cs="Segoe UI"/>
          <w:sz w:val="20"/>
          <w:szCs w:val="20"/>
        </w:rPr>
        <w:t>Email</w:t>
      </w:r>
      <w:r w:rsidR="001C22E6">
        <w:rPr>
          <w:rFonts w:ascii="Segoe UI" w:hAnsi="Segoe UI" w:cs="Segoe UI"/>
          <w:sz w:val="20"/>
          <w:szCs w:val="20"/>
        </w:rPr>
        <w:t xml:space="preserve">: </w:t>
      </w:r>
      <w:hyperlink r:id="rId9" w:history="1">
        <w:r w:rsidR="001C22E6" w:rsidRPr="00D74265">
          <w:rPr>
            <w:rStyle w:val="Hyperlink"/>
            <w:rFonts w:ascii="Segoe UI" w:hAnsi="Segoe UI" w:cs="Segoe UI"/>
            <w:sz w:val="20"/>
            <w:szCs w:val="20"/>
          </w:rPr>
          <w:t>jonathan.evans@brandonhillcapital.com</w:t>
        </w:r>
      </w:hyperlink>
    </w:p>
    <w:p w14:paraId="383B97C0" w14:textId="77777777" w:rsidR="001C22E6" w:rsidRPr="00D8030A" w:rsidRDefault="001C22E6" w:rsidP="00D8030A">
      <w:pPr>
        <w:autoSpaceDE w:val="0"/>
        <w:spacing w:after="0" w:line="240" w:lineRule="auto"/>
        <w:rPr>
          <w:rFonts w:ascii="Segoe UI" w:hAnsi="Segoe UI" w:cs="Segoe UI"/>
          <w:sz w:val="20"/>
          <w:szCs w:val="20"/>
        </w:rPr>
      </w:pPr>
    </w:p>
    <w:p w14:paraId="1FDC3DAD" w14:textId="39ABAFB3" w:rsidR="001C22E6" w:rsidRPr="001C22E6" w:rsidRDefault="001C22E6" w:rsidP="001C22E6">
      <w:pPr>
        <w:autoSpaceDE w:val="0"/>
        <w:spacing w:after="0" w:line="240" w:lineRule="auto"/>
        <w:rPr>
          <w:rFonts w:ascii="Segoe UI" w:hAnsi="Segoe UI" w:cs="Segoe UI"/>
          <w:b/>
          <w:bCs/>
          <w:sz w:val="20"/>
          <w:szCs w:val="20"/>
        </w:rPr>
      </w:pPr>
      <w:r w:rsidRPr="001C22E6">
        <w:rPr>
          <w:rFonts w:ascii="Segoe UI" w:hAnsi="Segoe UI" w:cs="Segoe UI"/>
          <w:b/>
          <w:bCs/>
          <w:sz w:val="20"/>
          <w:szCs w:val="20"/>
        </w:rPr>
        <w:t>Notes to Editors</w:t>
      </w:r>
    </w:p>
    <w:p w14:paraId="3877447B" w14:textId="60AB003C" w:rsidR="001C22E6" w:rsidRPr="001C22E6" w:rsidRDefault="00E1422A" w:rsidP="009A5B0C">
      <w:pPr>
        <w:pStyle w:val="font8"/>
        <w:spacing w:before="0" w:beforeAutospacing="0" w:after="0" w:afterAutospacing="0"/>
        <w:jc w:val="both"/>
        <w:rPr>
          <w:rFonts w:ascii="Calibri" w:eastAsia="Calibri" w:hAnsi="Calibri" w:cstheme="minorBidi"/>
          <w:sz w:val="22"/>
          <w:szCs w:val="22"/>
          <w:lang w:eastAsia="en-US"/>
        </w:rPr>
      </w:pPr>
      <w:r w:rsidRPr="00E1422A">
        <w:rPr>
          <w:rFonts w:ascii="Calibri" w:eastAsia="Calibri" w:hAnsi="Calibri" w:cs="Arial"/>
          <w:sz w:val="22"/>
          <w:szCs w:val="22"/>
        </w:rPr>
        <w:t xml:space="preserve">Mining, Minerals and Metals </w:t>
      </w:r>
      <w:r>
        <w:rPr>
          <w:rFonts w:ascii="Calibri" w:eastAsia="Calibri" w:hAnsi="Calibri" w:cs="Arial"/>
          <w:sz w:val="22"/>
          <w:szCs w:val="22"/>
        </w:rPr>
        <w:t xml:space="preserve">plc </w:t>
      </w:r>
      <w:r w:rsidR="001C22E6" w:rsidRPr="001C22E6">
        <w:rPr>
          <w:rFonts w:ascii="Calibri" w:eastAsia="Calibri" w:hAnsi="Calibri" w:cstheme="minorBidi"/>
          <w:sz w:val="22"/>
          <w:szCs w:val="22"/>
          <w:lang w:eastAsia="en-US"/>
        </w:rPr>
        <w:t xml:space="preserve">was </w:t>
      </w:r>
      <w:r>
        <w:rPr>
          <w:rFonts w:ascii="Calibri" w:eastAsia="Calibri" w:hAnsi="Calibri" w:cstheme="minorBidi"/>
          <w:sz w:val="22"/>
          <w:szCs w:val="22"/>
          <w:lang w:eastAsia="en-US"/>
        </w:rPr>
        <w:t xml:space="preserve">established as a special purpose acquisition company </w:t>
      </w:r>
      <w:r w:rsidR="001C22E6" w:rsidRPr="001C22E6">
        <w:rPr>
          <w:rFonts w:ascii="Calibri" w:eastAsia="Calibri" w:hAnsi="Calibri" w:cstheme="minorBidi"/>
          <w:sz w:val="22"/>
          <w:szCs w:val="22"/>
          <w:lang w:eastAsia="en-US"/>
        </w:rPr>
        <w:t>to undertake an acquisition of one or more businesses (either shares or assets) that has operations involved in natural resources explo</w:t>
      </w:r>
      <w:r>
        <w:rPr>
          <w:rFonts w:ascii="Calibri" w:eastAsia="Calibri" w:hAnsi="Calibri" w:cstheme="minorBidi"/>
          <w:sz w:val="22"/>
          <w:szCs w:val="22"/>
          <w:lang w:eastAsia="en-US"/>
        </w:rPr>
        <w:t xml:space="preserve">itation </w:t>
      </w:r>
      <w:r w:rsidR="001C22E6" w:rsidRPr="001C22E6">
        <w:rPr>
          <w:rFonts w:ascii="Calibri" w:eastAsia="Calibri" w:hAnsi="Calibri" w:cstheme="minorBidi"/>
          <w:sz w:val="22"/>
          <w:szCs w:val="22"/>
          <w:lang w:eastAsia="en-US"/>
        </w:rPr>
        <w:t>that it will then look to develop and expand. </w:t>
      </w:r>
    </w:p>
    <w:p w14:paraId="574F8F3C" w14:textId="29974693" w:rsidR="001C22E6" w:rsidRPr="00E1422A" w:rsidRDefault="00E1422A" w:rsidP="009A5B0C">
      <w:pPr>
        <w:pStyle w:val="font8"/>
        <w:jc w:val="both"/>
        <w:rPr>
          <w:rFonts w:ascii="Calibri" w:eastAsia="Calibri" w:hAnsi="Calibri" w:cstheme="minorBidi"/>
          <w:sz w:val="22"/>
          <w:szCs w:val="22"/>
          <w:lang w:eastAsia="en-US"/>
        </w:rPr>
      </w:pPr>
      <w:r w:rsidRPr="00E1422A">
        <w:rPr>
          <w:rFonts w:ascii="Calibri" w:eastAsia="Calibri" w:hAnsi="Calibri" w:cstheme="minorBidi"/>
          <w:sz w:val="22"/>
          <w:szCs w:val="22"/>
          <w:lang w:eastAsia="en-US"/>
        </w:rPr>
        <w:t xml:space="preserve">The directors of MMM </w:t>
      </w:r>
      <w:r w:rsidR="001C22E6" w:rsidRPr="00E1422A">
        <w:rPr>
          <w:rFonts w:ascii="Calibri" w:eastAsia="Calibri" w:hAnsi="Calibri" w:cstheme="minorBidi"/>
          <w:sz w:val="22"/>
          <w:szCs w:val="22"/>
          <w:lang w:eastAsia="en-US"/>
        </w:rPr>
        <w:t>have established a network of contacts internationally within the sector and will utilise independent third parties to provide expert advice where necessary.</w:t>
      </w:r>
    </w:p>
    <w:p w14:paraId="455B6F2B" w14:textId="0A804B8F" w:rsidR="001C22E6" w:rsidRPr="001C22E6" w:rsidRDefault="001C22E6" w:rsidP="001C22E6">
      <w:pPr>
        <w:autoSpaceDE w:val="0"/>
        <w:adjustRightInd w:val="0"/>
        <w:spacing w:after="0" w:line="276" w:lineRule="auto"/>
        <w:rPr>
          <w:rFonts w:ascii="Segoe UI" w:hAnsi="Segoe UI" w:cs="Segoe UI"/>
          <w:b/>
          <w:bCs/>
          <w:sz w:val="20"/>
          <w:szCs w:val="20"/>
        </w:rPr>
      </w:pPr>
      <w:r w:rsidRPr="001C22E6">
        <w:rPr>
          <w:rFonts w:ascii="Segoe UI" w:hAnsi="Segoe UI" w:cs="Segoe UI"/>
          <w:b/>
          <w:bCs/>
          <w:sz w:val="20"/>
          <w:szCs w:val="20"/>
        </w:rPr>
        <w:t>Forward Looking Statements</w:t>
      </w:r>
    </w:p>
    <w:p w14:paraId="5FC4AA26" w14:textId="77777777" w:rsidR="001C22E6" w:rsidRPr="001C22E6" w:rsidRDefault="001C22E6" w:rsidP="001C22E6">
      <w:pPr>
        <w:autoSpaceDE w:val="0"/>
        <w:adjustRightInd w:val="0"/>
        <w:spacing w:after="0" w:line="240" w:lineRule="auto"/>
        <w:jc w:val="both"/>
        <w:rPr>
          <w:rFonts w:cs="Arial"/>
          <w:lang w:eastAsia="en-GB"/>
        </w:rPr>
      </w:pPr>
      <w:r w:rsidRPr="001C22E6">
        <w:rPr>
          <w:rFonts w:cs="Arial"/>
          <w:lang w:eastAsia="en-GB"/>
        </w:rPr>
        <w:t xml:space="preserve">Certain statements in this announcement are or may be deemed to be forward looking statements. Forward looking statements are identiﬁed by their use of terms and phrases such as ‘‘believe’’ ‘‘could’’ “should” ‘‘envisage’’ ‘‘estimate’’ ‘‘intend’’ ‘‘may’’ ‘‘plan’’ ‘‘will’’ or the negative of those variations or comparable expressions including references to assumptions. These forward-looking statements are not based on historical facts but rather on the Directors’ current expectations and assumptions regarding the Company’s future growth results of operations performance future capital and other expenditures (including the amount. nature and sources of funding thereof) competitive advantages business prospects </w:t>
      </w:r>
      <w:r w:rsidRPr="001C22E6">
        <w:rPr>
          <w:rFonts w:cs="Arial"/>
          <w:lang w:eastAsia="en-GB"/>
        </w:rPr>
        <w:lastRenderedPageBreak/>
        <w:t xml:space="preserve">and opportunities. Such forward looking statements reﬂect the Directors’ current beliefs and assumptions and are based on information currently available to the Directors.  Many factors could cause actual results to differ materially from the results discussed in the forward-looking statements including risks associated with vulnerability to general economic and business conditions competition environmental and other regulatory changes actions by governmental authorities the availability of capital markets reliance on key personnel uninsured and underinsured losses and other factors many of which are beyond the control of the Company. Although any forward-looking statements contained in this announcement are based upon what the Directors believe to be reasonable assumptions. The Company cannot assure investors that actual results will be consistent with such forward looking statements. </w:t>
      </w:r>
    </w:p>
    <w:p w14:paraId="5ECBEE2A" w14:textId="7F56AB79" w:rsidR="00D8030A" w:rsidRPr="001C22E6" w:rsidRDefault="00D8030A" w:rsidP="001C22E6">
      <w:pPr>
        <w:autoSpaceDE w:val="0"/>
        <w:spacing w:after="200" w:line="240" w:lineRule="auto"/>
        <w:jc w:val="both"/>
        <w:rPr>
          <w:rFonts w:cs="Arial"/>
          <w:lang w:eastAsia="en-GB"/>
        </w:rPr>
      </w:pPr>
    </w:p>
    <w:p w14:paraId="20F7E671" w14:textId="77777777" w:rsidR="00F63659" w:rsidRDefault="00F63659" w:rsidP="00F63659">
      <w:pPr>
        <w:autoSpaceDE w:val="0"/>
        <w:adjustRightInd w:val="0"/>
        <w:spacing w:after="0" w:line="240" w:lineRule="auto"/>
        <w:rPr>
          <w:rFonts w:cs="Calibri"/>
          <w:b/>
          <w:bCs/>
          <w:kern w:val="2"/>
          <w:sz w:val="20"/>
          <w:szCs w:val="20"/>
        </w:rPr>
      </w:pPr>
    </w:p>
    <w:p w14:paraId="5E6AC54E" w14:textId="77777777" w:rsidR="00F63659" w:rsidRDefault="00F63659" w:rsidP="00F63659">
      <w:pPr>
        <w:autoSpaceDE w:val="0"/>
        <w:adjustRightInd w:val="0"/>
        <w:spacing w:after="0" w:line="240" w:lineRule="auto"/>
        <w:rPr>
          <w:rFonts w:cs="Calibri"/>
          <w:b/>
          <w:bCs/>
          <w:kern w:val="2"/>
          <w:sz w:val="20"/>
          <w:szCs w:val="20"/>
        </w:rPr>
      </w:pPr>
    </w:p>
    <w:p w14:paraId="0AE15AF1" w14:textId="77777777" w:rsidR="00F63659" w:rsidRDefault="00F63659" w:rsidP="00F63659">
      <w:pPr>
        <w:autoSpaceDE w:val="0"/>
        <w:adjustRightInd w:val="0"/>
        <w:spacing w:after="0" w:line="240" w:lineRule="auto"/>
        <w:rPr>
          <w:rFonts w:cs="Calibri"/>
          <w:b/>
          <w:bCs/>
          <w:kern w:val="2"/>
          <w:sz w:val="20"/>
          <w:szCs w:val="20"/>
        </w:rPr>
      </w:pPr>
    </w:p>
    <w:p w14:paraId="54DBC5AB" w14:textId="41203015" w:rsidR="00F63659" w:rsidRDefault="00F63659" w:rsidP="00F63659">
      <w:pPr>
        <w:autoSpaceDE w:val="0"/>
        <w:adjustRightInd w:val="0"/>
        <w:spacing w:after="0" w:line="240" w:lineRule="auto"/>
        <w:rPr>
          <w:rFonts w:cs="Calibri"/>
          <w:b/>
          <w:bCs/>
          <w:kern w:val="2"/>
          <w:sz w:val="20"/>
          <w:szCs w:val="20"/>
        </w:rPr>
      </w:pPr>
      <w:r>
        <w:rPr>
          <w:rFonts w:cs="Calibri"/>
          <w:b/>
          <w:bCs/>
          <w:kern w:val="2"/>
          <w:sz w:val="20"/>
          <w:szCs w:val="20"/>
        </w:rPr>
        <w:t>CHAIRMAN’S STATEMENT</w:t>
      </w:r>
    </w:p>
    <w:p w14:paraId="0E3B1993" w14:textId="77777777" w:rsidR="00F63659" w:rsidRDefault="00F63659" w:rsidP="00F63659">
      <w:pPr>
        <w:autoSpaceDE w:val="0"/>
        <w:adjustRightInd w:val="0"/>
        <w:spacing w:after="0" w:line="240" w:lineRule="auto"/>
        <w:rPr>
          <w:rFonts w:cs="Calibri"/>
          <w:kern w:val="2"/>
          <w:sz w:val="18"/>
          <w:szCs w:val="18"/>
        </w:rPr>
      </w:pPr>
    </w:p>
    <w:p w14:paraId="0C50D7D3"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 xml:space="preserve">I have great pleasure in presenting the 2021 Annual Report and Accounts of Mining, Minerals &amp; Metals Plc (the “Company”). </w:t>
      </w:r>
    </w:p>
    <w:p w14:paraId="14746EB4"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xml:space="preserve">The Company was formed in order to undertake the acquisition of a controlling interest in a business (either shares or assets) that has operations in the natural resources sector (an “Acquisition”), reflecting the experience of the Company’s board of directors. Any Acquisition is expected to constitute a reverse takeover transaction and consideration for the Acquisition may be in part or in whole in the form of share-based consideration, funded from the Company’s existing cash resources or the raising of additional funds.  Following completion of an Acquisition, the objective of the Company will be to add value to the acquired business or asset through the deployment of capital with a view to generating value for its shareholders. </w:t>
      </w:r>
    </w:p>
    <w:p w14:paraId="51C7B9F2" w14:textId="77777777" w:rsidR="00F63659" w:rsidRDefault="00F63659" w:rsidP="00F63659">
      <w:pPr>
        <w:autoSpaceDE w:val="0"/>
        <w:adjustRightInd w:val="0"/>
        <w:spacing w:after="0" w:line="240" w:lineRule="auto"/>
        <w:jc w:val="both"/>
        <w:rPr>
          <w:rFonts w:cs="Calibri"/>
          <w:kern w:val="2"/>
          <w:sz w:val="18"/>
          <w:szCs w:val="18"/>
        </w:rPr>
      </w:pPr>
    </w:p>
    <w:p w14:paraId="7635487C"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xml:space="preserve">The current climate for natural resource companies seeking to raise capital is significantly improving with commodity prices in general performing very well in the second half of 2020 and into 2021. Accordingly, I believe that the Company represents an extremely attractive proposition to prospective Acquisition counterparties considering listing on the London Stock Exchange and I remain confident that we will be able to execute an Acquisition that creates value for our shareholders.  </w:t>
      </w:r>
    </w:p>
    <w:p w14:paraId="752AB980" w14:textId="77777777" w:rsidR="00F63659" w:rsidRDefault="00F63659" w:rsidP="00F63659">
      <w:pPr>
        <w:autoSpaceDE w:val="0"/>
        <w:adjustRightInd w:val="0"/>
        <w:spacing w:after="0" w:line="240" w:lineRule="auto"/>
        <w:jc w:val="both"/>
        <w:rPr>
          <w:rFonts w:cs="Calibri"/>
          <w:kern w:val="2"/>
          <w:sz w:val="18"/>
          <w:szCs w:val="18"/>
        </w:rPr>
      </w:pPr>
    </w:p>
    <w:p w14:paraId="031B5878"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xml:space="preserve">The Company’s low operating cost model means we retain a clean balance sheet with just under £364,000 of cash as at 31 January 2021, a clean capital structure and an experienced board of directors.    </w:t>
      </w:r>
    </w:p>
    <w:p w14:paraId="4B1D9589"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Since the Company’s IPO on the Main Market of the London Stock Exchange in March 2020, the Company has seen a steady flow of potential Acquisition opportunities and has actively reviewed many projects covering all stages of development from exploration through to producing assets over a range of commodities across multiple jurisdictions. As a result of the depth and breadth of experience and the skills of the Board of Directors, we have primarily conducted our reviews using in-house resources, thereby limiting costs to the Company.</w:t>
      </w:r>
    </w:p>
    <w:p w14:paraId="48FE8D7A"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Leading up to the date of writing this report there have been several changes to the Board and I am confident that we now have in place the best possible team focussed on delivering on the Company’s strategy.</w:t>
      </w:r>
    </w:p>
    <w:p w14:paraId="68865098"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 xml:space="preserve">Whilst the Board has a desire to complete an Acquisition in a timely manner and take advantage of current market dynamics, we will not compromise in our approach of securing attractive commercial terms and completing the appropriate detailed due diligence. We believe that this approach provides the best opportunity to identify and, where possible, mitigate any risks, whilst delivering a transaction that creates value for our shareholders.  </w:t>
      </w:r>
    </w:p>
    <w:p w14:paraId="03CEB7CE"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I look forward to reporting our progress to you over the coming months.</w:t>
      </w:r>
    </w:p>
    <w:p w14:paraId="2C6E127C" w14:textId="77777777" w:rsidR="00F63659" w:rsidRDefault="00F63659" w:rsidP="00F63659">
      <w:pPr>
        <w:autoSpaceDE w:val="0"/>
        <w:adjustRightInd w:val="0"/>
        <w:spacing w:after="0" w:line="240" w:lineRule="auto"/>
        <w:rPr>
          <w:rFonts w:cs="Calibri"/>
          <w:b/>
          <w:bCs/>
          <w:kern w:val="2"/>
          <w:sz w:val="18"/>
          <w:szCs w:val="18"/>
        </w:rPr>
      </w:pPr>
    </w:p>
    <w:p w14:paraId="15C7DED0" w14:textId="77777777" w:rsidR="00F63659" w:rsidRDefault="00F63659" w:rsidP="00F63659">
      <w:pPr>
        <w:autoSpaceDE w:val="0"/>
        <w:adjustRightInd w:val="0"/>
        <w:spacing w:after="0" w:line="240" w:lineRule="auto"/>
        <w:rPr>
          <w:rFonts w:cs="Calibri"/>
          <w:b/>
          <w:bCs/>
          <w:kern w:val="2"/>
          <w:sz w:val="18"/>
          <w:szCs w:val="18"/>
        </w:rPr>
      </w:pPr>
    </w:p>
    <w:p w14:paraId="2FBB9B25" w14:textId="77777777" w:rsidR="00F63659" w:rsidRDefault="00F63659" w:rsidP="00F63659">
      <w:pPr>
        <w:widowControl w:val="0"/>
        <w:autoSpaceDE w:val="0"/>
        <w:adjustRightInd w:val="0"/>
        <w:spacing w:after="0" w:line="240" w:lineRule="auto"/>
        <w:jc w:val="both"/>
        <w:rPr>
          <w:rFonts w:cs="Calibri"/>
          <w:b/>
          <w:bCs/>
          <w:kern w:val="2"/>
          <w:sz w:val="18"/>
          <w:szCs w:val="18"/>
        </w:rPr>
      </w:pPr>
      <w:r>
        <w:rPr>
          <w:rFonts w:cs="Calibri"/>
          <w:b/>
          <w:bCs/>
          <w:kern w:val="2"/>
          <w:sz w:val="18"/>
          <w:szCs w:val="18"/>
        </w:rPr>
        <w:t>Roy Pitchford</w:t>
      </w:r>
    </w:p>
    <w:p w14:paraId="4B3B9C27" w14:textId="77777777" w:rsidR="00F63659" w:rsidRDefault="00F63659" w:rsidP="00F63659">
      <w:pPr>
        <w:widowControl w:val="0"/>
        <w:autoSpaceDE w:val="0"/>
        <w:adjustRightInd w:val="0"/>
        <w:spacing w:after="0" w:line="240" w:lineRule="auto"/>
        <w:jc w:val="both"/>
        <w:rPr>
          <w:rFonts w:cs="Calibri"/>
          <w:i/>
          <w:iCs/>
          <w:kern w:val="2"/>
          <w:sz w:val="18"/>
          <w:szCs w:val="18"/>
        </w:rPr>
      </w:pPr>
      <w:r>
        <w:rPr>
          <w:rFonts w:cs="Calibri"/>
          <w:i/>
          <w:iCs/>
          <w:kern w:val="2"/>
          <w:sz w:val="18"/>
          <w:szCs w:val="18"/>
        </w:rPr>
        <w:t>Chairman</w:t>
      </w:r>
    </w:p>
    <w:p w14:paraId="48E26979" w14:textId="77777777" w:rsidR="00F63659" w:rsidRDefault="00F63659" w:rsidP="00F63659">
      <w:pPr>
        <w:autoSpaceDE w:val="0"/>
        <w:adjustRightInd w:val="0"/>
        <w:spacing w:after="0" w:line="240" w:lineRule="auto"/>
        <w:rPr>
          <w:rFonts w:cs="Calibri"/>
          <w:b/>
          <w:bCs/>
          <w:kern w:val="2"/>
          <w:sz w:val="18"/>
          <w:szCs w:val="18"/>
        </w:rPr>
      </w:pPr>
    </w:p>
    <w:p w14:paraId="30F5109D" w14:textId="77777777" w:rsidR="00F63659" w:rsidRDefault="00F63659" w:rsidP="00F63659">
      <w:pPr>
        <w:autoSpaceDE w:val="0"/>
        <w:adjustRightInd w:val="0"/>
        <w:spacing w:after="0" w:line="240" w:lineRule="auto"/>
        <w:rPr>
          <w:rFonts w:cs="Calibri"/>
          <w:b/>
          <w:bCs/>
          <w:kern w:val="2"/>
          <w:sz w:val="18"/>
          <w:szCs w:val="18"/>
        </w:rPr>
      </w:pPr>
    </w:p>
    <w:p w14:paraId="448B1FB7" w14:textId="77777777" w:rsidR="00F63659" w:rsidRDefault="00F63659" w:rsidP="00F63659">
      <w:pPr>
        <w:autoSpaceDE w:val="0"/>
        <w:adjustRightInd w:val="0"/>
        <w:spacing w:after="0" w:line="240" w:lineRule="auto"/>
        <w:rPr>
          <w:rFonts w:cs="Calibri"/>
          <w:b/>
          <w:bCs/>
          <w:kern w:val="2"/>
          <w:sz w:val="18"/>
          <w:szCs w:val="18"/>
        </w:rPr>
      </w:pPr>
    </w:p>
    <w:p w14:paraId="284C90AA" w14:textId="77777777" w:rsidR="00F63659" w:rsidRDefault="00F63659" w:rsidP="00F63659">
      <w:pPr>
        <w:autoSpaceDE w:val="0"/>
        <w:adjustRightInd w:val="0"/>
        <w:spacing w:after="0" w:line="240" w:lineRule="auto"/>
        <w:rPr>
          <w:rFonts w:cs="Calibri"/>
          <w:b/>
          <w:bCs/>
          <w:kern w:val="2"/>
          <w:sz w:val="18"/>
          <w:szCs w:val="18"/>
        </w:rPr>
      </w:pPr>
    </w:p>
    <w:p w14:paraId="1C5693CA" w14:textId="77777777" w:rsidR="00F63659" w:rsidRDefault="00F63659" w:rsidP="00F63659">
      <w:pPr>
        <w:autoSpaceDE w:val="0"/>
        <w:adjustRightInd w:val="0"/>
        <w:spacing w:after="0" w:line="240" w:lineRule="auto"/>
        <w:rPr>
          <w:rFonts w:cs="Calibri"/>
          <w:b/>
          <w:bCs/>
          <w:kern w:val="2"/>
          <w:sz w:val="20"/>
          <w:szCs w:val="20"/>
        </w:rPr>
      </w:pPr>
      <w:r>
        <w:rPr>
          <w:rFonts w:cs="Calibri"/>
          <w:b/>
          <w:bCs/>
          <w:kern w:val="2"/>
          <w:sz w:val="20"/>
          <w:szCs w:val="20"/>
        </w:rPr>
        <w:t>STRATEGIC REPORT</w:t>
      </w:r>
    </w:p>
    <w:p w14:paraId="4070718B" w14:textId="77777777" w:rsidR="00F63659" w:rsidRDefault="00F63659" w:rsidP="00F63659">
      <w:pPr>
        <w:autoSpaceDE w:val="0"/>
        <w:adjustRightInd w:val="0"/>
        <w:spacing w:after="0" w:line="240" w:lineRule="auto"/>
        <w:rPr>
          <w:rFonts w:cs="Calibri"/>
          <w:b/>
          <w:bCs/>
          <w:kern w:val="2"/>
          <w:sz w:val="18"/>
          <w:szCs w:val="18"/>
        </w:rPr>
      </w:pPr>
    </w:p>
    <w:p w14:paraId="34C0AE13" w14:textId="77777777" w:rsidR="00F63659" w:rsidRDefault="00F63659" w:rsidP="00F63659">
      <w:pPr>
        <w:autoSpaceDE w:val="0"/>
        <w:adjustRightInd w:val="0"/>
        <w:spacing w:after="0" w:line="240" w:lineRule="auto"/>
        <w:rPr>
          <w:rFonts w:cs="Calibri"/>
          <w:b/>
          <w:bCs/>
          <w:kern w:val="2"/>
          <w:sz w:val="20"/>
          <w:szCs w:val="20"/>
        </w:rPr>
      </w:pPr>
      <w:r>
        <w:rPr>
          <w:rFonts w:cs="Calibri"/>
          <w:b/>
          <w:bCs/>
          <w:kern w:val="2"/>
          <w:sz w:val="20"/>
          <w:szCs w:val="20"/>
        </w:rPr>
        <w:lastRenderedPageBreak/>
        <w:t xml:space="preserve">Overview </w:t>
      </w:r>
    </w:p>
    <w:p w14:paraId="5EE2DAC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The primary objective of the strategic report is to provide information for the shareholders and help them to assess how the directors have performed their duty, under section 172 of the Companies Act 2006, to promote the success of the company and to provide context for the related financial statements. </w:t>
      </w:r>
    </w:p>
    <w:p w14:paraId="3FF0EAC0"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The duty of a director, as set out in section 172 of the Act, is to act in the way he considers, in good faith, would be most likely to promote the success of the company for the benefit of its members, and in doing so have regard (amongst other matters) to: </w:t>
      </w:r>
    </w:p>
    <w:p w14:paraId="186AA065"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(a) the likely consequences of any decision in the long term; </w:t>
      </w:r>
    </w:p>
    <w:p w14:paraId="4D97F199"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(b) the interests of the company's employees; </w:t>
      </w:r>
    </w:p>
    <w:p w14:paraId="591C492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(c) the need to foster the company's business relationships with suppliers, customers and others; </w:t>
      </w:r>
    </w:p>
    <w:p w14:paraId="2D30584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(d) the impact of the company's operations on the community and the environment; </w:t>
      </w:r>
    </w:p>
    <w:p w14:paraId="32B88613"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(e) the desirability of the company maintaining a reputation for high standards of business conduct; and </w:t>
      </w:r>
    </w:p>
    <w:p w14:paraId="6BFC434B"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(f) the need to act fairly as between members of the company. </w:t>
      </w:r>
    </w:p>
    <w:p w14:paraId="47AE7D85"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As detailed further in the review of business below the Company is in its early stages and does not have any employees other than the board of Directors. Throughout the financial year the Company was focussed on achieving a listing on the Main Market, which was achieved in March 2020. Since listing the Company is seeking a suitable Acquisition and this search is ongoing. </w:t>
      </w:r>
    </w:p>
    <w:p w14:paraId="0C12391A" w14:textId="77777777" w:rsidR="00F63659" w:rsidRDefault="00F63659" w:rsidP="00F63659">
      <w:pPr>
        <w:widowControl w:val="0"/>
        <w:autoSpaceDE w:val="0"/>
        <w:adjustRightInd w:val="0"/>
        <w:spacing w:before="120" w:after="0" w:line="240" w:lineRule="auto"/>
        <w:jc w:val="both"/>
        <w:rPr>
          <w:rFonts w:ascii="Arial" w:hAnsi="Arial" w:cs="Arial"/>
          <w:kern w:val="2"/>
          <w:sz w:val="18"/>
          <w:szCs w:val="18"/>
        </w:rPr>
      </w:pPr>
      <w:r>
        <w:rPr>
          <w:rFonts w:cs="Calibri"/>
          <w:kern w:val="2"/>
          <w:sz w:val="18"/>
          <w:szCs w:val="18"/>
        </w:rPr>
        <w:t>The Company has had relatively little interaction with its members and internal stakeholders during and subsequent to the financial year and it should be noted that due to the early stage of the Company’s development, the Board also deems the Company’s impact on external stakeholders to have been minimal during the financial year.</w:t>
      </w:r>
    </w:p>
    <w:p w14:paraId="32254F7F" w14:textId="77777777" w:rsidR="00F63659" w:rsidRDefault="00F63659" w:rsidP="00F63659">
      <w:pPr>
        <w:widowControl w:val="0"/>
        <w:autoSpaceDE w:val="0"/>
        <w:adjustRightInd w:val="0"/>
        <w:spacing w:before="120" w:after="0" w:line="240" w:lineRule="auto"/>
        <w:jc w:val="both"/>
        <w:rPr>
          <w:rFonts w:ascii="Arial" w:hAnsi="Arial" w:cs="Arial"/>
          <w:kern w:val="2"/>
          <w:sz w:val="18"/>
          <w:szCs w:val="18"/>
        </w:rPr>
      </w:pPr>
    </w:p>
    <w:p w14:paraId="5C6785B0"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r>
        <w:rPr>
          <w:rFonts w:cs="Calibri"/>
          <w:b/>
          <w:bCs/>
          <w:kern w:val="2"/>
          <w:sz w:val="20"/>
          <w:szCs w:val="20"/>
        </w:rPr>
        <w:t xml:space="preserve">Review of the Company’s Business </w:t>
      </w:r>
    </w:p>
    <w:p w14:paraId="0A80A6E1"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Company was developed to undertake an acquisition of a business (either shares or assets) (an “Acquisition”) that has operations in the natural resource sector, that it will then look to develop and expand. The Directors are particularly seeking opportunities in the mining and Oil and Gas segments of the natural resources sector. the Company continues to evaluate potential Acquisition opportunities and at the time of this report, no Acquisitions have progressed. Together, the Directors have many years’ experience conducting corporate acquisitions and capital markets transactions across the natural resources sector, with particular emphasis on mining and Oil and Gas. They have established a network of contacts internationally within the sector and will utilise independent third parties to provide expert advice where necessary.</w:t>
      </w:r>
    </w:p>
    <w:p w14:paraId="048EB579"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On 6 March 2020, the Company successfully admitted its Ordinary Shares to the Official List (by way of a Standard Listing under Chapter 14 of the Listing Rules) and to the London Stock Exchange for the Ordinary Shares to be admitted to trading on the Main Market. In conjunction with this the Company raised gross proceeds to date (including £514,000 on admission to the main market) of approximately £726,667 through the Subscriptions, involving: (i) the issue of ordinary shares of £1 each to the Founders in the Initial Subscription; (ii) the issue of Ordinary Shares to the Pre-IPO Investors; (iii) the issue of Ordinary Shares to VPI; and (iv) the issue of the Admission Subscription Shares to new investors.</w:t>
      </w:r>
    </w:p>
    <w:p w14:paraId="71D48B1E"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p>
    <w:p w14:paraId="01E9E587"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r>
        <w:rPr>
          <w:rFonts w:cs="Calibri"/>
          <w:b/>
          <w:bCs/>
          <w:kern w:val="2"/>
          <w:sz w:val="20"/>
          <w:szCs w:val="20"/>
        </w:rPr>
        <w:t xml:space="preserve">Financing </w:t>
      </w:r>
    </w:p>
    <w:p w14:paraId="0517279D"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Directors intend to use the net proceeds to fund the due diligence and other transaction costs in respect of the Acquisition. This due diligence will include a legal, financial, technical and operational evaluation of the Acquisition. The Directors will minimise costs expended on professional, advisory, and administrative fees. Until the Acquisition is identified, it is not possible to determine how much expenditure will be required on legal, financial, technical, and operational costs. Additionally, the Company has considerable flexibility in how it would be able to finance the consideration for the Acquisition, which will include the net proceeds (the residual net proceeds after all expenses related to due diligence and transaction costs paid out of net proceeds) together with the potential to incur indebtedness and/or to issue further listed equity (whether to raise additional cash or as transaction consideration).</w:t>
      </w:r>
    </w:p>
    <w:p w14:paraId="64577506"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p>
    <w:p w14:paraId="0A31407D"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r>
        <w:rPr>
          <w:rFonts w:cs="Calibri"/>
          <w:b/>
          <w:bCs/>
          <w:kern w:val="2"/>
          <w:sz w:val="20"/>
          <w:szCs w:val="20"/>
        </w:rPr>
        <w:t xml:space="preserve">Key Performance Indicators </w:t>
      </w:r>
    </w:p>
    <w:p w14:paraId="1E83B362"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The Directors track the following as the Company's key performance indicators (“KPls”): </w:t>
      </w:r>
    </w:p>
    <w:p w14:paraId="3D858461" w14:textId="77777777" w:rsidR="00F63659" w:rsidRDefault="00F63659" w:rsidP="00F63659">
      <w:pPr>
        <w:numPr>
          <w:ilvl w:val="0"/>
          <w:numId w:val="2"/>
        </w:numPr>
        <w:suppressAutoHyphens w:val="0"/>
        <w:autoSpaceDE w:val="0"/>
        <w:adjustRightInd w:val="0"/>
        <w:spacing w:after="0" w:line="252" w:lineRule="auto"/>
        <w:ind w:left="720" w:hanging="360"/>
        <w:textAlignment w:val="auto"/>
        <w:rPr>
          <w:rFonts w:cs="Calibri"/>
          <w:sz w:val="18"/>
          <w:szCs w:val="18"/>
          <w:lang w:val="en-MY"/>
        </w:rPr>
      </w:pPr>
      <w:r>
        <w:rPr>
          <w:rFonts w:cs="Calibri"/>
          <w:sz w:val="18"/>
          <w:szCs w:val="18"/>
          <w:lang w:val="en-MY"/>
        </w:rPr>
        <w:t xml:space="preserve">Administrative expenses </w:t>
      </w:r>
    </w:p>
    <w:p w14:paraId="4634458B" w14:textId="77777777" w:rsidR="00F63659" w:rsidRDefault="00F63659" w:rsidP="00F63659">
      <w:pPr>
        <w:numPr>
          <w:ilvl w:val="0"/>
          <w:numId w:val="2"/>
        </w:numPr>
        <w:suppressAutoHyphens w:val="0"/>
        <w:autoSpaceDE w:val="0"/>
        <w:adjustRightInd w:val="0"/>
        <w:spacing w:after="0" w:line="252" w:lineRule="auto"/>
        <w:ind w:left="720" w:hanging="360"/>
        <w:textAlignment w:val="auto"/>
        <w:rPr>
          <w:rFonts w:cs="Calibri"/>
          <w:sz w:val="18"/>
          <w:szCs w:val="18"/>
          <w:lang w:val="en-MY"/>
        </w:rPr>
      </w:pPr>
      <w:r>
        <w:rPr>
          <w:rFonts w:cs="Calibri"/>
          <w:sz w:val="18"/>
          <w:szCs w:val="18"/>
          <w:lang w:val="en-MY"/>
        </w:rPr>
        <w:lastRenderedPageBreak/>
        <w:t xml:space="preserve">Cash holdings </w:t>
      </w:r>
    </w:p>
    <w:p w14:paraId="5E5CCA33"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Company's accounting systems track performance on a monthly basis in particular focusing on working capital needs. These KPls will be refined and augmented as the Company's business develops. If the Acquisition is completed; the Directors expect the KPls to focus on revenue generation and the growth of the acquisition target.</w:t>
      </w:r>
    </w:p>
    <w:p w14:paraId="28C5E52A" w14:textId="77777777" w:rsidR="00F63659" w:rsidRDefault="00F63659" w:rsidP="00F63659">
      <w:pPr>
        <w:autoSpaceDE w:val="0"/>
        <w:adjustRightInd w:val="0"/>
        <w:spacing w:after="0" w:line="240" w:lineRule="auto"/>
        <w:rPr>
          <w:rFonts w:cs="Calibri"/>
          <w:kern w:val="2"/>
          <w:sz w:val="18"/>
          <w:szCs w:val="18"/>
        </w:rPr>
      </w:pPr>
    </w:p>
    <w:p w14:paraId="4AF53F8B"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r>
        <w:rPr>
          <w:rFonts w:cs="Calibri"/>
          <w:b/>
          <w:bCs/>
          <w:kern w:val="2"/>
          <w:sz w:val="20"/>
          <w:szCs w:val="20"/>
        </w:rPr>
        <w:t xml:space="preserve">Principal Risks and Uncertainties </w:t>
      </w:r>
    </w:p>
    <w:p w14:paraId="3D9395A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The Directors consider the principal risks and uncertainties facing the Company and a summary of the key measures taken to mitigate those risks are as follows: </w:t>
      </w:r>
    </w:p>
    <w:p w14:paraId="61E21A69" w14:textId="77777777" w:rsidR="00F63659" w:rsidRDefault="00F63659" w:rsidP="00F63659">
      <w:pPr>
        <w:autoSpaceDE w:val="0"/>
        <w:adjustRightInd w:val="0"/>
        <w:spacing w:after="0" w:line="240" w:lineRule="auto"/>
        <w:rPr>
          <w:rFonts w:cs="Calibri"/>
          <w:kern w:val="2"/>
          <w:sz w:val="18"/>
          <w:szCs w:val="18"/>
        </w:rPr>
      </w:pPr>
    </w:p>
    <w:p w14:paraId="3A1C250E" w14:textId="77777777" w:rsidR="00F63659" w:rsidRDefault="00F63659" w:rsidP="00F63659">
      <w:pPr>
        <w:autoSpaceDE w:val="0"/>
        <w:adjustRightInd w:val="0"/>
        <w:spacing w:after="0" w:line="240" w:lineRule="auto"/>
        <w:rPr>
          <w:rFonts w:cs="Calibri"/>
          <w:b/>
          <w:bCs/>
          <w:i/>
          <w:iCs/>
          <w:kern w:val="2"/>
          <w:sz w:val="18"/>
          <w:szCs w:val="18"/>
        </w:rPr>
      </w:pPr>
      <w:r>
        <w:rPr>
          <w:rFonts w:cs="Calibri"/>
          <w:b/>
          <w:bCs/>
          <w:i/>
          <w:iCs/>
          <w:kern w:val="2"/>
          <w:sz w:val="18"/>
          <w:szCs w:val="18"/>
        </w:rPr>
        <w:t>Financial risks</w:t>
      </w:r>
    </w:p>
    <w:p w14:paraId="64C66E0A" w14:textId="77777777" w:rsidR="00F63659" w:rsidRDefault="00F63659" w:rsidP="00F63659">
      <w:pPr>
        <w:autoSpaceDE w:val="0"/>
        <w:adjustRightInd w:val="0"/>
        <w:spacing w:after="0" w:line="240" w:lineRule="auto"/>
        <w:rPr>
          <w:rFonts w:cs="Calibri"/>
          <w:kern w:val="2"/>
          <w:sz w:val="18"/>
          <w:szCs w:val="18"/>
        </w:rPr>
      </w:pPr>
    </w:p>
    <w:p w14:paraId="2B785B50"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xml:space="preserve">The effective management of its financial exposures is central to preserving the Company's performance. The Company is exposed to financial market risks and may be impacted negatively by fluctuations in general capital market sentiment and cyclicality. These factors may create volatility in the Company's results to the extent that they are not effectively hedged. </w:t>
      </w:r>
    </w:p>
    <w:p w14:paraId="4353D232" w14:textId="77777777" w:rsidR="00F63659" w:rsidRDefault="00F63659" w:rsidP="00F63659">
      <w:pPr>
        <w:autoSpaceDE w:val="0"/>
        <w:adjustRightInd w:val="0"/>
        <w:spacing w:after="0" w:line="240" w:lineRule="auto"/>
        <w:jc w:val="both"/>
        <w:rPr>
          <w:rFonts w:cs="Calibri"/>
          <w:kern w:val="2"/>
          <w:sz w:val="18"/>
          <w:szCs w:val="18"/>
        </w:rPr>
      </w:pPr>
    </w:p>
    <w:p w14:paraId="01B3A29B"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xml:space="preserve">The Company's outsourced finance team provides support to the board to ensure accurate financial reporting and tracking of business performance. Reporting on financial performance is provided on a regular basis to senior management and the Board. </w:t>
      </w:r>
    </w:p>
    <w:p w14:paraId="6371D100" w14:textId="77777777" w:rsidR="00F63659" w:rsidRDefault="00F63659" w:rsidP="00F63659">
      <w:pPr>
        <w:autoSpaceDE w:val="0"/>
        <w:adjustRightInd w:val="0"/>
        <w:spacing w:after="0" w:line="240" w:lineRule="auto"/>
        <w:rPr>
          <w:rFonts w:cs="Calibri"/>
          <w:kern w:val="2"/>
          <w:sz w:val="18"/>
          <w:szCs w:val="18"/>
        </w:rPr>
      </w:pPr>
    </w:p>
    <w:p w14:paraId="206BCBCA" w14:textId="77777777" w:rsidR="00F63659" w:rsidRDefault="00F63659" w:rsidP="00F63659">
      <w:pPr>
        <w:autoSpaceDE w:val="0"/>
        <w:adjustRightInd w:val="0"/>
        <w:spacing w:after="0" w:line="240" w:lineRule="auto"/>
        <w:rPr>
          <w:rFonts w:cs="Calibri"/>
          <w:b/>
          <w:bCs/>
          <w:i/>
          <w:iCs/>
          <w:kern w:val="2"/>
          <w:sz w:val="18"/>
          <w:szCs w:val="18"/>
        </w:rPr>
      </w:pPr>
      <w:r>
        <w:rPr>
          <w:rFonts w:cs="Calibri"/>
          <w:b/>
          <w:bCs/>
          <w:i/>
          <w:iCs/>
          <w:kern w:val="2"/>
          <w:sz w:val="18"/>
          <w:szCs w:val="18"/>
        </w:rPr>
        <w:t xml:space="preserve">Operational risks </w:t>
      </w:r>
    </w:p>
    <w:p w14:paraId="6275C63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20"/>
          <w:szCs w:val="20"/>
        </w:rPr>
        <w:t>The</w:t>
      </w:r>
      <w:r>
        <w:rPr>
          <w:rFonts w:cs="Calibri"/>
          <w:kern w:val="2"/>
          <w:sz w:val="18"/>
          <w:szCs w:val="18"/>
        </w:rPr>
        <w:t xml:space="preserve"> success of the Company's business strategy is dependent on its ability to complete Acquisition opportunities and the subsequent performance of the acquired entities. </w:t>
      </w:r>
    </w:p>
    <w:p w14:paraId="5B432BC3" w14:textId="77777777" w:rsidR="00F63659" w:rsidRDefault="00F63659" w:rsidP="00F63659">
      <w:pPr>
        <w:autoSpaceDE w:val="0"/>
        <w:adjustRightInd w:val="0"/>
        <w:spacing w:after="0" w:line="240" w:lineRule="auto"/>
        <w:rPr>
          <w:rFonts w:cs="Calibri"/>
          <w:kern w:val="2"/>
          <w:sz w:val="18"/>
          <w:szCs w:val="18"/>
        </w:rPr>
      </w:pPr>
    </w:p>
    <w:p w14:paraId="3AF2BF9E" w14:textId="77777777" w:rsidR="00F63659" w:rsidRDefault="00F63659" w:rsidP="00F63659">
      <w:pPr>
        <w:autoSpaceDE w:val="0"/>
        <w:adjustRightInd w:val="0"/>
        <w:spacing w:after="0" w:line="240" w:lineRule="auto"/>
        <w:rPr>
          <w:rFonts w:cs="Calibri"/>
          <w:kern w:val="2"/>
          <w:sz w:val="18"/>
          <w:szCs w:val="18"/>
        </w:rPr>
      </w:pPr>
      <w:r>
        <w:rPr>
          <w:rFonts w:cs="Calibri"/>
          <w:kern w:val="2"/>
          <w:sz w:val="18"/>
          <w:szCs w:val="18"/>
        </w:rPr>
        <w:t>The Directors seek to manage these risks by leveraging the experience of the executive team and complementary skill sets of the non-executive directors to prudently identify, pursue and execute on Acquisition opportunities.</w:t>
      </w:r>
    </w:p>
    <w:p w14:paraId="0DADD9D5" w14:textId="77777777" w:rsidR="00F63659" w:rsidRDefault="00F63659" w:rsidP="00F63659">
      <w:pPr>
        <w:autoSpaceDE w:val="0"/>
        <w:adjustRightInd w:val="0"/>
        <w:spacing w:after="0" w:line="240" w:lineRule="auto"/>
        <w:rPr>
          <w:rFonts w:cs="Calibri"/>
          <w:kern w:val="2"/>
          <w:sz w:val="18"/>
          <w:szCs w:val="18"/>
        </w:rPr>
      </w:pPr>
    </w:p>
    <w:p w14:paraId="618A7427" w14:textId="77777777" w:rsidR="00F63659" w:rsidRDefault="00F63659" w:rsidP="00F63659">
      <w:pPr>
        <w:autoSpaceDE w:val="0"/>
        <w:adjustRightInd w:val="0"/>
        <w:spacing w:after="0" w:line="240" w:lineRule="auto"/>
        <w:jc w:val="both"/>
        <w:rPr>
          <w:rFonts w:cs="Calibri"/>
          <w:kern w:val="2"/>
          <w:sz w:val="20"/>
          <w:szCs w:val="20"/>
        </w:rPr>
      </w:pPr>
      <w:r>
        <w:rPr>
          <w:rFonts w:cs="Calibri"/>
          <w:kern w:val="2"/>
          <w:sz w:val="18"/>
          <w:szCs w:val="18"/>
        </w:rPr>
        <w:t>The review of Acquisition targets involves an assessment of the target's business and the markets it operates in, its business plans and management capabilities. ln identifying and assessing potential targets, the Board considers the risk profile of the business concerned, in particular, its financial and commercial viability and suitability for a listed company. The Board consults its Financial Advisor and Broker throughout as a means of mitigating risk and complying with the listing Rules. Performance is monitored regularly and reported to the Board.</w:t>
      </w:r>
      <w:r>
        <w:rPr>
          <w:rFonts w:cs="Calibri"/>
          <w:kern w:val="2"/>
          <w:sz w:val="20"/>
          <w:szCs w:val="20"/>
        </w:rPr>
        <w:t xml:space="preserve"> </w:t>
      </w:r>
    </w:p>
    <w:p w14:paraId="1796E9B7" w14:textId="77777777" w:rsidR="00F63659" w:rsidRDefault="00F63659" w:rsidP="00F63659">
      <w:pPr>
        <w:autoSpaceDE w:val="0"/>
        <w:adjustRightInd w:val="0"/>
        <w:spacing w:after="0" w:line="240" w:lineRule="auto"/>
        <w:rPr>
          <w:rFonts w:cs="Calibri"/>
          <w:kern w:val="2"/>
          <w:sz w:val="20"/>
          <w:szCs w:val="20"/>
        </w:rPr>
      </w:pPr>
    </w:p>
    <w:p w14:paraId="1390DA64"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r>
        <w:rPr>
          <w:rFonts w:cs="Calibri"/>
          <w:b/>
          <w:bCs/>
          <w:kern w:val="2"/>
          <w:sz w:val="20"/>
          <w:szCs w:val="20"/>
        </w:rPr>
        <w:t xml:space="preserve">Corporate Responsibility </w:t>
      </w:r>
    </w:p>
    <w:p w14:paraId="3716D7B0" w14:textId="77777777" w:rsidR="00F63659" w:rsidRDefault="00F63659" w:rsidP="00F63659">
      <w:pPr>
        <w:autoSpaceDE w:val="0"/>
        <w:adjustRightInd w:val="0"/>
        <w:spacing w:before="120" w:after="0" w:line="240" w:lineRule="auto"/>
        <w:jc w:val="both"/>
        <w:rPr>
          <w:rFonts w:cs="Calibri"/>
          <w:kern w:val="2"/>
          <w:sz w:val="18"/>
          <w:szCs w:val="18"/>
        </w:rPr>
      </w:pPr>
      <w:r>
        <w:rPr>
          <w:rFonts w:cs="Calibri"/>
          <w:kern w:val="2"/>
          <w:sz w:val="18"/>
          <w:szCs w:val="18"/>
        </w:rPr>
        <w:t xml:space="preserve">The Company takes its responsibilities as a corporate citizen seriously. The Board’s primary goal is to create shareholder value but in a responsible manner that serves all stakeholders. </w:t>
      </w:r>
    </w:p>
    <w:p w14:paraId="025D5EF9" w14:textId="77777777" w:rsidR="00F63659" w:rsidRDefault="00F63659" w:rsidP="00F63659">
      <w:pPr>
        <w:autoSpaceDE w:val="0"/>
        <w:adjustRightInd w:val="0"/>
        <w:spacing w:after="0" w:line="240" w:lineRule="auto"/>
        <w:rPr>
          <w:rFonts w:cs="Calibri"/>
          <w:kern w:val="2"/>
          <w:sz w:val="20"/>
          <w:szCs w:val="20"/>
        </w:rPr>
      </w:pPr>
    </w:p>
    <w:p w14:paraId="53111660" w14:textId="77777777" w:rsidR="00F63659" w:rsidRDefault="00F63659" w:rsidP="00F63659">
      <w:pPr>
        <w:autoSpaceDE w:val="0"/>
        <w:adjustRightInd w:val="0"/>
        <w:spacing w:before="120" w:after="0" w:line="240" w:lineRule="auto"/>
        <w:rPr>
          <w:rFonts w:cs="Calibri"/>
          <w:b/>
          <w:bCs/>
          <w:kern w:val="2"/>
          <w:sz w:val="20"/>
          <w:szCs w:val="20"/>
        </w:rPr>
      </w:pPr>
      <w:r>
        <w:rPr>
          <w:rFonts w:cs="Calibri"/>
          <w:b/>
          <w:bCs/>
          <w:kern w:val="2"/>
          <w:sz w:val="20"/>
          <w:szCs w:val="20"/>
        </w:rPr>
        <w:t xml:space="preserve">Governance </w:t>
      </w:r>
    </w:p>
    <w:p w14:paraId="51944940" w14:textId="77777777" w:rsidR="00F63659" w:rsidRDefault="00F63659" w:rsidP="00F63659">
      <w:pPr>
        <w:autoSpaceDE w:val="0"/>
        <w:adjustRightInd w:val="0"/>
        <w:spacing w:before="120" w:after="0" w:line="240" w:lineRule="auto"/>
        <w:jc w:val="both"/>
        <w:rPr>
          <w:rFonts w:cs="Calibri"/>
          <w:kern w:val="2"/>
          <w:sz w:val="18"/>
          <w:szCs w:val="18"/>
        </w:rPr>
      </w:pPr>
      <w:r>
        <w:rPr>
          <w:rFonts w:cs="Calibri"/>
          <w:kern w:val="2"/>
          <w:sz w:val="18"/>
          <w:szCs w:val="18"/>
        </w:rPr>
        <w:t xml:space="preserve">The Board considers social governance as a critical component of the Company’s success. The Company has an effective and engaged Board with a strong non-executive presence from diverse backgrounds. The Board is committed to ensuring that particularly as the Company’s business develops, the Company's values are reinforced, effective risk management practices are implemented and that the Company adheres to high standards of corporate governance. </w:t>
      </w:r>
    </w:p>
    <w:p w14:paraId="40CB0E11" w14:textId="77777777" w:rsidR="00F63659" w:rsidRDefault="00F63659" w:rsidP="00F63659">
      <w:pPr>
        <w:autoSpaceDE w:val="0"/>
        <w:adjustRightInd w:val="0"/>
        <w:spacing w:before="120" w:after="0" w:line="240" w:lineRule="auto"/>
        <w:jc w:val="both"/>
        <w:rPr>
          <w:rFonts w:cs="Calibri"/>
          <w:kern w:val="2"/>
          <w:sz w:val="18"/>
          <w:szCs w:val="18"/>
        </w:rPr>
      </w:pPr>
      <w:r>
        <w:rPr>
          <w:rFonts w:cs="Calibri"/>
          <w:kern w:val="2"/>
          <w:sz w:val="18"/>
          <w:szCs w:val="18"/>
        </w:rPr>
        <w:t>The Company has decided not to apply a Corporate Governance Code provisions given its current size and resources. The Company is a small company with modest resources. The Company has a clear mandate to optimise the allocation of limited resources to source acquisitions and support its future plans. As such the Company strives to maintain a balance between conservation of limited resources and maintaining robust corporate governance practices. As the Company evolves, the Board is committed to enhancing the Company’s corporate governance policies and practices deemed appropriate to the size and maturity of the organisation.</w:t>
      </w:r>
    </w:p>
    <w:p w14:paraId="48E778A5" w14:textId="77777777" w:rsidR="00F63659" w:rsidRDefault="00F63659" w:rsidP="00F63659">
      <w:pPr>
        <w:autoSpaceDE w:val="0"/>
        <w:adjustRightInd w:val="0"/>
        <w:spacing w:after="0" w:line="240" w:lineRule="auto"/>
        <w:jc w:val="both"/>
        <w:rPr>
          <w:rFonts w:cs="Calibri"/>
          <w:kern w:val="2"/>
          <w:sz w:val="18"/>
          <w:szCs w:val="18"/>
        </w:rPr>
      </w:pPr>
    </w:p>
    <w:p w14:paraId="730C1CF1"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xml:space="preserve">The management report for the period is constituted by the content of the Strategic Report and Directors' Report. </w:t>
      </w:r>
    </w:p>
    <w:p w14:paraId="32BF42F0" w14:textId="77777777" w:rsidR="00F63659" w:rsidRDefault="00F63659" w:rsidP="00F63659">
      <w:pPr>
        <w:autoSpaceDE w:val="0"/>
        <w:adjustRightInd w:val="0"/>
        <w:spacing w:after="0" w:line="240" w:lineRule="auto"/>
        <w:rPr>
          <w:rFonts w:cs="Calibri"/>
          <w:kern w:val="2"/>
          <w:sz w:val="20"/>
          <w:szCs w:val="20"/>
        </w:rPr>
      </w:pPr>
    </w:p>
    <w:p w14:paraId="6E77AE8D"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r>
        <w:rPr>
          <w:rFonts w:cs="Calibri"/>
          <w:b/>
          <w:bCs/>
          <w:kern w:val="2"/>
          <w:sz w:val="20"/>
          <w:szCs w:val="20"/>
        </w:rPr>
        <w:t xml:space="preserve">Growth Strategy and Outlook </w:t>
      </w:r>
    </w:p>
    <w:p w14:paraId="00704E5D" w14:textId="77777777" w:rsidR="00F63659" w:rsidRDefault="00F63659" w:rsidP="00F63659">
      <w:pPr>
        <w:autoSpaceDE w:val="0"/>
        <w:adjustRightInd w:val="0"/>
        <w:spacing w:before="120" w:after="0" w:line="240" w:lineRule="auto"/>
        <w:jc w:val="both"/>
        <w:rPr>
          <w:rFonts w:cs="Calibri"/>
          <w:kern w:val="2"/>
          <w:sz w:val="18"/>
          <w:szCs w:val="18"/>
        </w:rPr>
      </w:pPr>
      <w:r>
        <w:rPr>
          <w:rFonts w:cs="Calibri"/>
          <w:kern w:val="2"/>
          <w:sz w:val="18"/>
          <w:szCs w:val="18"/>
        </w:rPr>
        <w:lastRenderedPageBreak/>
        <w:t>The Company’s near-term goals are to execute its Acquisition strategy. ln the event of the completion of the Acquisition, the Board expects the immediate focus is to be on developing and expanding the Acquisition target.</w:t>
      </w:r>
    </w:p>
    <w:p w14:paraId="6F7AF211"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p>
    <w:p w14:paraId="5AA55D6D" w14:textId="77777777" w:rsidR="00F63659" w:rsidRDefault="00F63659" w:rsidP="00F63659">
      <w:pPr>
        <w:widowControl w:val="0"/>
        <w:autoSpaceDE w:val="0"/>
        <w:adjustRightInd w:val="0"/>
        <w:spacing w:before="120" w:after="0" w:line="240" w:lineRule="auto"/>
        <w:jc w:val="both"/>
        <w:rPr>
          <w:rFonts w:cs="Calibri"/>
          <w:b/>
          <w:bCs/>
          <w:kern w:val="2"/>
          <w:sz w:val="20"/>
          <w:szCs w:val="20"/>
        </w:rPr>
      </w:pPr>
      <w:r>
        <w:rPr>
          <w:rFonts w:cs="Calibri"/>
          <w:b/>
          <w:bCs/>
          <w:kern w:val="2"/>
          <w:sz w:val="20"/>
          <w:szCs w:val="20"/>
        </w:rPr>
        <w:t>Going Concern</w:t>
      </w:r>
    </w:p>
    <w:p w14:paraId="14FE0F84" w14:textId="77777777" w:rsidR="00F63659" w:rsidRDefault="00F63659" w:rsidP="00F63659">
      <w:pPr>
        <w:autoSpaceDE w:val="0"/>
        <w:adjustRightInd w:val="0"/>
        <w:spacing w:before="120" w:after="0" w:line="240" w:lineRule="auto"/>
        <w:jc w:val="both"/>
        <w:rPr>
          <w:rFonts w:cs="Calibri"/>
          <w:kern w:val="2"/>
          <w:sz w:val="18"/>
          <w:szCs w:val="18"/>
        </w:rPr>
      </w:pPr>
      <w:r>
        <w:rPr>
          <w:rFonts w:cs="Calibri"/>
          <w:kern w:val="2"/>
          <w:sz w:val="18"/>
          <w:szCs w:val="18"/>
        </w:rPr>
        <w:t xml:space="preserve">These financial statements are prepared on the going concern basis. The going concern basis assumes that the Company will continue in operation for the foreseeable future and will be able to realise its assets and discharge its liabilities and commitments in the normal course of business. </w:t>
      </w:r>
    </w:p>
    <w:p w14:paraId="71A60A86" w14:textId="77777777" w:rsidR="00F63659" w:rsidRDefault="00F63659" w:rsidP="00F63659">
      <w:pPr>
        <w:autoSpaceDE w:val="0"/>
        <w:adjustRightInd w:val="0"/>
        <w:spacing w:before="120" w:after="0" w:line="240" w:lineRule="auto"/>
        <w:jc w:val="both"/>
        <w:rPr>
          <w:rFonts w:cs="Calibri"/>
          <w:kern w:val="2"/>
          <w:sz w:val="18"/>
          <w:szCs w:val="18"/>
        </w:rPr>
      </w:pPr>
      <w:r>
        <w:rPr>
          <w:rFonts w:cs="Calibri"/>
          <w:kern w:val="2"/>
          <w:sz w:val="18"/>
          <w:szCs w:val="18"/>
        </w:rPr>
        <w:t>The Company has limited administrative expenses associated with its continuing operations and its liabilities are limited to trade payables associated with the administrative expenditure. The Directors have prepared budgetary forecasts for the period ended 30 June 2022, considering operating cashflows and expenditure requirements for the Company. As disclosed in the review of the company’s business, the company has raised £726,667 through subscriptions to the date of this report.</w:t>
      </w:r>
    </w:p>
    <w:p w14:paraId="09EEB324" w14:textId="77777777" w:rsidR="00F63659" w:rsidRDefault="00F63659" w:rsidP="00F63659">
      <w:pPr>
        <w:autoSpaceDE w:val="0"/>
        <w:adjustRightInd w:val="0"/>
        <w:spacing w:before="120" w:after="0" w:line="240" w:lineRule="auto"/>
        <w:jc w:val="both"/>
        <w:rPr>
          <w:rFonts w:cs="Calibri"/>
          <w:kern w:val="2"/>
          <w:sz w:val="18"/>
          <w:szCs w:val="18"/>
        </w:rPr>
      </w:pPr>
      <w:r>
        <w:rPr>
          <w:rFonts w:cs="Calibri"/>
          <w:kern w:val="2"/>
          <w:sz w:val="18"/>
          <w:szCs w:val="18"/>
        </w:rPr>
        <w:t>The Directors are of the opinion that the Company will be able to undertake its planned activities through to the period ended 31 March 2022 and have prepared the financial statements on the going concern basis. The financial statements do not include any adjustments that would result if the Group was unable to continue as a going concern.</w:t>
      </w:r>
    </w:p>
    <w:p w14:paraId="255B1451"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On behalf of the Board, </w:t>
      </w:r>
    </w:p>
    <w:p w14:paraId="32272FA8" w14:textId="77777777" w:rsidR="00F63659" w:rsidRDefault="00F63659" w:rsidP="00F63659">
      <w:pPr>
        <w:widowControl w:val="0"/>
        <w:autoSpaceDE w:val="0"/>
        <w:adjustRightInd w:val="0"/>
        <w:spacing w:before="120" w:after="0" w:line="240" w:lineRule="auto"/>
        <w:jc w:val="both"/>
        <w:rPr>
          <w:rFonts w:cs="Calibri"/>
          <w:kern w:val="2"/>
          <w:sz w:val="18"/>
          <w:szCs w:val="18"/>
        </w:rPr>
      </w:pPr>
    </w:p>
    <w:p w14:paraId="245C1DC5" w14:textId="77777777" w:rsidR="00F63659" w:rsidRDefault="00F63659" w:rsidP="00F63659">
      <w:pPr>
        <w:widowControl w:val="0"/>
        <w:autoSpaceDE w:val="0"/>
        <w:adjustRightInd w:val="0"/>
        <w:spacing w:before="120" w:after="0" w:line="240" w:lineRule="auto"/>
        <w:jc w:val="both"/>
        <w:rPr>
          <w:rFonts w:cs="Calibri"/>
          <w:kern w:val="2"/>
          <w:sz w:val="18"/>
          <w:szCs w:val="18"/>
        </w:rPr>
      </w:pPr>
    </w:p>
    <w:p w14:paraId="7CEECAF5" w14:textId="77777777" w:rsidR="00F63659" w:rsidRDefault="00F63659" w:rsidP="00F63659">
      <w:pPr>
        <w:widowControl w:val="0"/>
        <w:autoSpaceDE w:val="0"/>
        <w:adjustRightInd w:val="0"/>
        <w:spacing w:after="0" w:line="240" w:lineRule="auto"/>
        <w:jc w:val="both"/>
        <w:rPr>
          <w:rFonts w:cs="Calibri"/>
          <w:b/>
          <w:bCs/>
          <w:kern w:val="2"/>
          <w:sz w:val="18"/>
          <w:szCs w:val="18"/>
        </w:rPr>
      </w:pPr>
      <w:r>
        <w:rPr>
          <w:rFonts w:cs="Calibri"/>
          <w:b/>
          <w:bCs/>
          <w:kern w:val="2"/>
          <w:sz w:val="18"/>
          <w:szCs w:val="18"/>
        </w:rPr>
        <w:t>Roy Pitchford</w:t>
      </w:r>
    </w:p>
    <w:p w14:paraId="6FED0247" w14:textId="77777777" w:rsidR="00F63659" w:rsidRDefault="00F63659" w:rsidP="00F63659">
      <w:pPr>
        <w:widowControl w:val="0"/>
        <w:autoSpaceDE w:val="0"/>
        <w:adjustRightInd w:val="0"/>
        <w:spacing w:after="0" w:line="240" w:lineRule="auto"/>
        <w:jc w:val="both"/>
        <w:rPr>
          <w:rFonts w:ascii="Times New Roman" w:hAnsi="Times New Roman"/>
          <w:kern w:val="2"/>
          <w:sz w:val="24"/>
          <w:szCs w:val="24"/>
        </w:rPr>
      </w:pPr>
      <w:r>
        <w:rPr>
          <w:rFonts w:cs="Calibri"/>
          <w:i/>
          <w:iCs/>
          <w:kern w:val="2"/>
          <w:sz w:val="18"/>
          <w:szCs w:val="18"/>
        </w:rPr>
        <w:t>Director</w:t>
      </w:r>
    </w:p>
    <w:p w14:paraId="727D3F92"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28 May 2021</w:t>
      </w:r>
    </w:p>
    <w:p w14:paraId="49FCC5E4" w14:textId="77777777" w:rsidR="00F63659" w:rsidRDefault="00F63659" w:rsidP="00F63659">
      <w:pPr>
        <w:autoSpaceDE w:val="0"/>
        <w:adjustRightInd w:val="0"/>
        <w:spacing w:after="0" w:line="240" w:lineRule="auto"/>
        <w:rPr>
          <w:rFonts w:cs="Calibri"/>
          <w:kern w:val="2"/>
          <w:sz w:val="18"/>
          <w:szCs w:val="18"/>
        </w:rPr>
      </w:pPr>
    </w:p>
    <w:p w14:paraId="01408D6E" w14:textId="77777777" w:rsidR="00F63659" w:rsidRDefault="00F63659" w:rsidP="00F63659">
      <w:pPr>
        <w:autoSpaceDE w:val="0"/>
        <w:adjustRightInd w:val="0"/>
        <w:spacing w:after="0" w:line="240" w:lineRule="auto"/>
        <w:rPr>
          <w:rFonts w:cs="Calibri"/>
          <w:kern w:val="2"/>
          <w:sz w:val="18"/>
          <w:szCs w:val="18"/>
        </w:rPr>
      </w:pPr>
    </w:p>
    <w:p w14:paraId="247E6105" w14:textId="77777777" w:rsidR="00F63659" w:rsidRDefault="00F63659" w:rsidP="00F63659">
      <w:pPr>
        <w:autoSpaceDE w:val="0"/>
        <w:adjustRightInd w:val="0"/>
        <w:spacing w:after="0" w:line="240" w:lineRule="auto"/>
        <w:rPr>
          <w:rFonts w:cs="Calibri"/>
          <w:b/>
          <w:bCs/>
          <w:kern w:val="2"/>
          <w:sz w:val="20"/>
          <w:szCs w:val="20"/>
        </w:rPr>
      </w:pPr>
      <w:r>
        <w:rPr>
          <w:rFonts w:cs="Calibri"/>
          <w:b/>
          <w:bCs/>
          <w:kern w:val="2"/>
          <w:sz w:val="20"/>
          <w:szCs w:val="20"/>
        </w:rPr>
        <w:t>BOARD OF DIRECTORS</w:t>
      </w:r>
    </w:p>
    <w:p w14:paraId="1F5CCF2B" w14:textId="77777777" w:rsidR="00F63659" w:rsidRDefault="00F63659" w:rsidP="00F63659">
      <w:pPr>
        <w:autoSpaceDE w:val="0"/>
        <w:adjustRightInd w:val="0"/>
        <w:spacing w:after="0" w:line="240" w:lineRule="auto"/>
        <w:rPr>
          <w:rFonts w:cs="Calibri"/>
          <w:b/>
          <w:bCs/>
          <w:kern w:val="2"/>
          <w:sz w:val="20"/>
          <w:szCs w:val="20"/>
        </w:rPr>
      </w:pPr>
    </w:p>
    <w:p w14:paraId="46845523" w14:textId="77777777" w:rsidR="00F63659" w:rsidRDefault="00F63659" w:rsidP="00F63659">
      <w:pPr>
        <w:widowControl w:val="0"/>
        <w:autoSpaceDE w:val="0"/>
        <w:adjustRightInd w:val="0"/>
        <w:spacing w:before="120" w:after="0" w:line="240" w:lineRule="auto"/>
        <w:jc w:val="both"/>
        <w:rPr>
          <w:rFonts w:cs="Calibri"/>
          <w:b/>
          <w:bCs/>
          <w:color w:val="000000"/>
          <w:kern w:val="2"/>
          <w:sz w:val="18"/>
          <w:szCs w:val="18"/>
        </w:rPr>
      </w:pPr>
      <w:r>
        <w:rPr>
          <w:rFonts w:cs="Calibri"/>
          <w:b/>
          <w:bCs/>
          <w:color w:val="000000"/>
          <w:kern w:val="2"/>
          <w:sz w:val="18"/>
          <w:szCs w:val="18"/>
        </w:rPr>
        <w:t>Roy Pitchford - Chairman</w:t>
      </w:r>
    </w:p>
    <w:p w14:paraId="5DC2FDDC" w14:textId="77777777" w:rsidR="00F63659" w:rsidRDefault="00F63659" w:rsidP="00F63659">
      <w:pPr>
        <w:autoSpaceDE w:val="0"/>
        <w:adjustRightInd w:val="0"/>
        <w:spacing w:after="0" w:line="240" w:lineRule="auto"/>
        <w:rPr>
          <w:rFonts w:cs="Calibri"/>
          <w:kern w:val="2"/>
          <w:sz w:val="18"/>
          <w:szCs w:val="18"/>
        </w:rPr>
      </w:pPr>
    </w:p>
    <w:p w14:paraId="1C91D6DD"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Roy brings over 30 years’ executive and managerial expertise as well as a proven track record in Southern Africa in the junior mining industry to the Company. Roy has particular responsibilities for co-ordinating and reviewing potential reverse takeover targets.  </w:t>
      </w:r>
    </w:p>
    <w:p w14:paraId="21EC8C04"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w:t>
      </w:r>
    </w:p>
    <w:p w14:paraId="0AC443FB"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During his career in the resource development arena Roy has held the position of Chief Executive Officer for Cluff Resources Zimbabwe Ltd, Masasa Mines (Pvt) Ltd, Zimbabwe Platinum Mines Ltd, African Platinum Plc, African Minerals Ltd, and Vast Resources Plc. He is currently Non-Executive Chairman of Contango Holdings Plc and Non-Executive Director of Central Copper Resources Ltd.</w:t>
      </w:r>
    </w:p>
    <w:p w14:paraId="2670B573"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w:t>
      </w:r>
    </w:p>
    <w:p w14:paraId="4CEDB845"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Roy is a qualified Chartered Accountant (CA (Z)).</w:t>
      </w:r>
    </w:p>
    <w:p w14:paraId="56C31172" w14:textId="77777777" w:rsidR="00F63659" w:rsidRDefault="00F63659" w:rsidP="00F63659">
      <w:pPr>
        <w:widowControl w:val="0"/>
        <w:autoSpaceDE w:val="0"/>
        <w:adjustRightInd w:val="0"/>
        <w:spacing w:before="120" w:after="0" w:line="240" w:lineRule="auto"/>
        <w:jc w:val="both"/>
        <w:rPr>
          <w:rFonts w:cs="Calibri"/>
          <w:b/>
          <w:bCs/>
          <w:color w:val="000000"/>
          <w:kern w:val="2"/>
          <w:sz w:val="18"/>
          <w:szCs w:val="18"/>
        </w:rPr>
      </w:pPr>
    </w:p>
    <w:p w14:paraId="14812F37" w14:textId="77777777" w:rsidR="00F63659" w:rsidRDefault="00F63659" w:rsidP="00F63659">
      <w:pPr>
        <w:widowControl w:val="0"/>
        <w:autoSpaceDE w:val="0"/>
        <w:adjustRightInd w:val="0"/>
        <w:spacing w:before="120" w:after="0" w:line="240" w:lineRule="auto"/>
        <w:jc w:val="both"/>
        <w:rPr>
          <w:rFonts w:cs="Calibri"/>
          <w:b/>
          <w:bCs/>
          <w:color w:val="000000"/>
          <w:kern w:val="2"/>
          <w:sz w:val="18"/>
          <w:szCs w:val="18"/>
        </w:rPr>
      </w:pPr>
      <w:r>
        <w:rPr>
          <w:rFonts w:cs="Calibri"/>
          <w:b/>
          <w:bCs/>
          <w:color w:val="000000"/>
          <w:kern w:val="2"/>
          <w:sz w:val="18"/>
          <w:szCs w:val="18"/>
        </w:rPr>
        <w:t>Konosoang (“Kay”) Asare-Bediako – Non-Executive Director</w:t>
      </w:r>
    </w:p>
    <w:p w14:paraId="3AFCFA91"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Kay has twelve years’ experience in the financial services sector and is experienced in the strategic analysis of businesses, including financial modelling and valuation. She also has experience structuring and managing financial transactions in accordance with relevant laws and regulations including the Companies Act South Africa, JSE Listings Requirements and Public Finance Management Act.</w:t>
      </w:r>
    </w:p>
    <w:p w14:paraId="16255F40"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Kay is an executive director of Moshe Capital and leads the origination and implementation of advisory mandates. She assists in the execution of Moshe Capital's investment mandate and oversees the compliance function within Moshe Capital, including governance and adherence to the Financial Services Board.</w:t>
      </w:r>
    </w:p>
    <w:p w14:paraId="32C3D42C"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Kay began her career at Sasol as a Corporate Finance Specialist before joining Deutsche Bank’s Investment Banking Coverage and Advisory team. She has also served as a Financial Reporting and Accounting lecturer at the Vaal University of Technology. She is a director of Malundi Coal (Pty) Limited, a mining investment company, and is a non-executive director of Yalu (Pty) Limited, a provider of credit life insurance.</w:t>
      </w:r>
    </w:p>
    <w:p w14:paraId="1DAF5F1F"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lastRenderedPageBreak/>
        <w:t>Kay holds a Bachelor of Business Science with Finance Honours from the University of Cape Town and is a qualified chartered accountant (CA(SA)) and a recipient of the Columbia Business School Certificate in Business Excellence.</w:t>
      </w:r>
    </w:p>
    <w:p w14:paraId="6BE0F882" w14:textId="77777777" w:rsidR="00F63659" w:rsidRDefault="00F63659" w:rsidP="00F63659">
      <w:pPr>
        <w:widowControl w:val="0"/>
        <w:autoSpaceDE w:val="0"/>
        <w:adjustRightInd w:val="0"/>
        <w:spacing w:before="120" w:after="0" w:line="240" w:lineRule="auto"/>
        <w:jc w:val="both"/>
        <w:rPr>
          <w:rFonts w:cs="Calibri"/>
          <w:color w:val="000000"/>
          <w:kern w:val="2"/>
          <w:sz w:val="18"/>
          <w:szCs w:val="18"/>
        </w:rPr>
      </w:pPr>
    </w:p>
    <w:p w14:paraId="30AA81AC" w14:textId="77777777" w:rsidR="00F63659" w:rsidRDefault="00F63659" w:rsidP="00F63659">
      <w:pPr>
        <w:widowControl w:val="0"/>
        <w:autoSpaceDE w:val="0"/>
        <w:adjustRightInd w:val="0"/>
        <w:spacing w:before="120" w:after="0" w:line="240" w:lineRule="auto"/>
        <w:jc w:val="both"/>
        <w:rPr>
          <w:rFonts w:cs="Calibri"/>
          <w:b/>
          <w:bCs/>
          <w:color w:val="000000"/>
          <w:kern w:val="2"/>
          <w:sz w:val="18"/>
          <w:szCs w:val="18"/>
        </w:rPr>
      </w:pPr>
      <w:r>
        <w:rPr>
          <w:rFonts w:cs="Calibri"/>
          <w:b/>
          <w:bCs/>
          <w:color w:val="000000"/>
          <w:kern w:val="2"/>
          <w:sz w:val="18"/>
          <w:szCs w:val="18"/>
        </w:rPr>
        <w:t>Michael (“Mike”) Stewart - Non-Executive Director</w:t>
      </w:r>
    </w:p>
    <w:p w14:paraId="183D7370" w14:textId="77777777" w:rsidR="00F63659" w:rsidRDefault="00F63659" w:rsidP="00F63659">
      <w:pPr>
        <w:widowControl w:val="0"/>
        <w:autoSpaceDE w:val="0"/>
        <w:adjustRightInd w:val="0"/>
        <w:spacing w:before="120" w:after="0" w:line="240" w:lineRule="auto"/>
        <w:jc w:val="both"/>
        <w:rPr>
          <w:rFonts w:cs="Calibri"/>
          <w:b/>
          <w:bCs/>
          <w:color w:val="000000"/>
          <w:kern w:val="2"/>
          <w:sz w:val="2"/>
          <w:szCs w:val="2"/>
        </w:rPr>
      </w:pPr>
    </w:p>
    <w:p w14:paraId="08823BE6"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Mike is an experienced managing director and chief executive with a track record of delivering rapid, multimillion-pound benefits with many years of experience in business turnarounds, acquisitions, business transformations and growth.</w:t>
      </w:r>
    </w:p>
    <w:p w14:paraId="0740A07A"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w:t>
      </w:r>
    </w:p>
    <w:p w14:paraId="55592B75"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Mike’s international experience encompasses large multinational businesses such as Sasol, Mondi, Anglo American, Linpac, Mainetti and Schletter as well as the SME sector and Private Equity.</w:t>
      </w:r>
    </w:p>
    <w:p w14:paraId="58E4F7C0"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w:t>
      </w:r>
    </w:p>
    <w:p w14:paraId="63016F31"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Mike currently holds the following directorships: Linkcove Ltd, VAT Reclaim Ltd, Stewart Stratco Ltd. </w:t>
      </w:r>
    </w:p>
    <w:p w14:paraId="4913A0F6"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 </w:t>
      </w:r>
    </w:p>
    <w:p w14:paraId="1112E85E" w14:textId="77777777" w:rsidR="00F63659" w:rsidRDefault="00F63659" w:rsidP="00F63659">
      <w:pPr>
        <w:autoSpaceDE w:val="0"/>
        <w:adjustRightInd w:val="0"/>
        <w:spacing w:after="0" w:line="240" w:lineRule="auto"/>
        <w:jc w:val="both"/>
        <w:rPr>
          <w:rFonts w:cs="Calibri"/>
          <w:kern w:val="2"/>
          <w:sz w:val="18"/>
          <w:szCs w:val="18"/>
        </w:rPr>
      </w:pPr>
      <w:r>
        <w:rPr>
          <w:rFonts w:cs="Calibri"/>
          <w:kern w:val="2"/>
          <w:sz w:val="18"/>
          <w:szCs w:val="18"/>
        </w:rPr>
        <w:t>In the past five years, Mike has held the following other directorships: Schletter Africa Ltd and VAT Recovery Ltd.</w:t>
      </w:r>
    </w:p>
    <w:p w14:paraId="1D692050" w14:textId="77777777" w:rsidR="00F63659" w:rsidRDefault="00F63659" w:rsidP="00F63659">
      <w:pPr>
        <w:widowControl w:val="0"/>
        <w:autoSpaceDE w:val="0"/>
        <w:adjustRightInd w:val="0"/>
        <w:spacing w:before="120" w:after="0" w:line="240" w:lineRule="auto"/>
        <w:jc w:val="both"/>
        <w:rPr>
          <w:rFonts w:cs="Calibri"/>
          <w:color w:val="000000"/>
          <w:kern w:val="2"/>
          <w:sz w:val="18"/>
          <w:szCs w:val="18"/>
        </w:rPr>
      </w:pPr>
    </w:p>
    <w:p w14:paraId="65095F72" w14:textId="77777777" w:rsidR="00F63659" w:rsidRDefault="00F63659" w:rsidP="00F63659">
      <w:pPr>
        <w:widowControl w:val="0"/>
        <w:autoSpaceDE w:val="0"/>
        <w:adjustRightInd w:val="0"/>
        <w:spacing w:before="120" w:after="0" w:line="240" w:lineRule="auto"/>
        <w:jc w:val="both"/>
        <w:rPr>
          <w:rFonts w:cs="Calibri"/>
          <w:b/>
          <w:bCs/>
          <w:color w:val="000000"/>
          <w:kern w:val="2"/>
          <w:sz w:val="18"/>
          <w:szCs w:val="18"/>
        </w:rPr>
      </w:pPr>
      <w:r>
        <w:rPr>
          <w:rFonts w:cs="Calibri"/>
          <w:b/>
          <w:bCs/>
          <w:color w:val="000000"/>
          <w:kern w:val="2"/>
          <w:sz w:val="18"/>
          <w:szCs w:val="18"/>
        </w:rPr>
        <w:t>Jonathan (“Johnny”) Martin Smith - Non-Executive Director</w:t>
      </w:r>
    </w:p>
    <w:p w14:paraId="339F9612"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Johnny is an Independent Non-Executive Director and Chairman of the Remuneration Committee of IRC. He stepped down as a partner of the specialist mining advisory firm Legacy Hill Capital to take up being Chief Executive Officer of Sumner Group Mining Plc (previously known as VI Mining Plc). He was the founder of London based Smith’s Corporate Advisory, which he sold to UK stockbroker Westhouse Holdings in 2010, where he subsequently headed the mining practice. Prior to establishing his own firm, he worked at UBS, Credit Suisse and Williams de Broe. He recently served as a Temporary Independent Non-Executive Director of Petropavlovsk Plc for the months of July and August 2020.</w:t>
      </w:r>
    </w:p>
    <w:p w14:paraId="0C4CFB79" w14:textId="77777777" w:rsidR="00F63659" w:rsidRDefault="00F63659" w:rsidP="00F63659">
      <w:pPr>
        <w:widowControl w:val="0"/>
        <w:autoSpaceDE w:val="0"/>
        <w:adjustRightInd w:val="0"/>
        <w:spacing w:before="120" w:after="120" w:line="240" w:lineRule="auto"/>
        <w:jc w:val="both"/>
        <w:rPr>
          <w:rFonts w:cs="Calibri"/>
          <w:kern w:val="2"/>
          <w:sz w:val="18"/>
          <w:szCs w:val="18"/>
        </w:rPr>
      </w:pPr>
    </w:p>
    <w:p w14:paraId="0057F6A6" w14:textId="77777777" w:rsidR="00F63659" w:rsidRDefault="00F63659" w:rsidP="00F63659">
      <w:pPr>
        <w:autoSpaceDE w:val="0"/>
        <w:adjustRightInd w:val="0"/>
        <w:spacing w:after="0" w:line="240" w:lineRule="auto"/>
        <w:rPr>
          <w:rFonts w:cs="Calibri"/>
          <w:b/>
          <w:bCs/>
          <w:kern w:val="2"/>
          <w:sz w:val="18"/>
          <w:szCs w:val="18"/>
        </w:rPr>
      </w:pPr>
      <w:r>
        <w:rPr>
          <w:rFonts w:cs="Calibri"/>
          <w:b/>
          <w:bCs/>
          <w:kern w:val="2"/>
          <w:sz w:val="20"/>
          <w:szCs w:val="20"/>
        </w:rPr>
        <w:t>DIRECTORS’ REPORT</w:t>
      </w:r>
    </w:p>
    <w:p w14:paraId="499DFFCB"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p>
    <w:p w14:paraId="4D6ADF25"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Directors present their report together with the audited financial statements, for the year ended 31 January 2021.</w:t>
      </w:r>
    </w:p>
    <w:p w14:paraId="17FF72D9"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Company was incorporated on 28 January 2013 in England and Wales, as private company, it re-registered as a public limited company on 22 October 2018. The company was subsequently listed on the Main Market for listed securities of the London Stock Exchange on 6 March 2020.</w:t>
      </w:r>
    </w:p>
    <w:p w14:paraId="3DE5B198"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Results and dividends</w:t>
      </w:r>
    </w:p>
    <w:p w14:paraId="2FDAE7FD"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results for the period are set out in the Statement of Comprehensive Income on page 13. The Directors do not recommend the payment of a dividend on the ordinary shares.</w:t>
      </w:r>
    </w:p>
    <w:p w14:paraId="7C02B198" w14:textId="77777777" w:rsidR="00F63659" w:rsidRDefault="00F63659" w:rsidP="00F63659">
      <w:pPr>
        <w:widowControl w:val="0"/>
        <w:tabs>
          <w:tab w:val="left" w:pos="5387"/>
          <w:tab w:val="left" w:pos="7230"/>
        </w:tabs>
        <w:autoSpaceDE w:val="0"/>
        <w:adjustRightInd w:val="0"/>
        <w:spacing w:before="120" w:after="0" w:line="240" w:lineRule="auto"/>
        <w:jc w:val="both"/>
        <w:rPr>
          <w:rFonts w:cs="Calibri"/>
          <w:b/>
          <w:bCs/>
          <w:kern w:val="2"/>
          <w:sz w:val="18"/>
          <w:szCs w:val="18"/>
        </w:rPr>
      </w:pPr>
      <w:r>
        <w:rPr>
          <w:rFonts w:cs="Calibri"/>
          <w:b/>
          <w:bCs/>
          <w:kern w:val="2"/>
          <w:sz w:val="18"/>
          <w:szCs w:val="18"/>
        </w:rPr>
        <w:t xml:space="preserve">Directors </w:t>
      </w:r>
    </w:p>
    <w:p w14:paraId="0E640883" w14:textId="77777777" w:rsidR="00F63659" w:rsidRDefault="00F63659" w:rsidP="00F63659">
      <w:pPr>
        <w:widowControl w:val="0"/>
        <w:tabs>
          <w:tab w:val="left" w:pos="5387"/>
          <w:tab w:val="left" w:pos="7230"/>
        </w:tabs>
        <w:autoSpaceDE w:val="0"/>
        <w:adjustRightInd w:val="0"/>
        <w:spacing w:before="120" w:after="0" w:line="240" w:lineRule="auto"/>
        <w:jc w:val="both"/>
        <w:rPr>
          <w:rFonts w:cs="Calibri"/>
          <w:kern w:val="2"/>
          <w:sz w:val="18"/>
          <w:szCs w:val="18"/>
        </w:rPr>
      </w:pPr>
      <w:r>
        <w:rPr>
          <w:rFonts w:cs="Calibri"/>
          <w:kern w:val="2"/>
          <w:sz w:val="18"/>
          <w:szCs w:val="18"/>
        </w:rPr>
        <w:t>The Directors of the Company during the year were, all are non-executive Directors:</w:t>
      </w:r>
    </w:p>
    <w:p w14:paraId="2EA73978"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K Asare-Bediako</w:t>
      </w:r>
    </w:p>
    <w:p w14:paraId="60548D0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R Pitchford (appointed 9 April 2020)</w:t>
      </w:r>
    </w:p>
    <w:p w14:paraId="26B43179"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M Stewart (appointed 6 July 2020)</w:t>
      </w:r>
    </w:p>
    <w:p w14:paraId="69DAAB32"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M Moshe (resigned 10 August 2020)</w:t>
      </w:r>
    </w:p>
    <w:p w14:paraId="04E69ED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P Welker (resigned 10 August 2020)</w:t>
      </w:r>
    </w:p>
    <w:p w14:paraId="1E696E3C" w14:textId="77777777" w:rsidR="00F63659" w:rsidRDefault="00F63659" w:rsidP="00F63659">
      <w:pPr>
        <w:widowControl w:val="0"/>
        <w:autoSpaceDE w:val="0"/>
        <w:adjustRightInd w:val="0"/>
        <w:spacing w:before="120" w:after="0" w:line="240" w:lineRule="auto"/>
        <w:jc w:val="both"/>
        <w:rPr>
          <w:rFonts w:cs="Calibri"/>
          <w:color w:val="000000"/>
          <w:kern w:val="2"/>
          <w:sz w:val="18"/>
          <w:szCs w:val="18"/>
        </w:rPr>
      </w:pPr>
      <w:r>
        <w:rPr>
          <w:rFonts w:cs="Calibri"/>
          <w:color w:val="000000"/>
          <w:kern w:val="2"/>
          <w:sz w:val="18"/>
          <w:szCs w:val="18"/>
        </w:rPr>
        <w:t>A Monk (resigned 15 February 2021)</w:t>
      </w:r>
    </w:p>
    <w:p w14:paraId="4DB6C77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M Bonner (resigned 15 February 2021)</w:t>
      </w:r>
    </w:p>
    <w:p w14:paraId="7810027D" w14:textId="77777777" w:rsidR="00F63659" w:rsidRDefault="00F63659" w:rsidP="00F63659">
      <w:pPr>
        <w:widowControl w:val="0"/>
        <w:autoSpaceDE w:val="0"/>
        <w:adjustRightInd w:val="0"/>
        <w:spacing w:before="120" w:after="0" w:line="240" w:lineRule="auto"/>
        <w:jc w:val="both"/>
        <w:rPr>
          <w:rFonts w:cs="Calibri"/>
          <w:color w:val="000000"/>
          <w:kern w:val="2"/>
          <w:sz w:val="18"/>
          <w:szCs w:val="18"/>
        </w:rPr>
      </w:pPr>
      <w:r>
        <w:rPr>
          <w:rFonts w:cs="Calibri"/>
          <w:color w:val="000000"/>
          <w:kern w:val="2"/>
          <w:sz w:val="18"/>
          <w:szCs w:val="18"/>
        </w:rPr>
        <w:t>J Martin Smith was appointed a director on 15 February 2021</w:t>
      </w:r>
    </w:p>
    <w:p w14:paraId="193C6DD3"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 xml:space="preserve">Directors’ interest </w:t>
      </w:r>
    </w:p>
    <w:p w14:paraId="3E4DE73B"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The interest and deemed interest in the share capital of the Company and its related corporation by the Directors at the end of financial year are as follows: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2"/>
        <w:gridCol w:w="2835"/>
        <w:gridCol w:w="3119"/>
      </w:tblGrid>
      <w:tr w:rsidR="00F63659" w14:paraId="0B7FCC74" w14:textId="77777777" w:rsidTr="00CC7A1D">
        <w:trPr>
          <w:trHeight w:val="576"/>
        </w:trPr>
        <w:tc>
          <w:tcPr>
            <w:tcW w:w="2972" w:type="dxa"/>
            <w:tcBorders>
              <w:top w:val="single" w:sz="4" w:space="0" w:color="auto"/>
              <w:bottom w:val="single" w:sz="4" w:space="0" w:color="auto"/>
              <w:right w:val="single" w:sz="4" w:space="0" w:color="auto"/>
            </w:tcBorders>
            <w:vAlign w:val="center"/>
          </w:tcPr>
          <w:p w14:paraId="4DACA962" w14:textId="77777777" w:rsidR="00F63659" w:rsidRDefault="00F63659" w:rsidP="00CC7A1D">
            <w:pPr>
              <w:widowControl w:val="0"/>
              <w:autoSpaceDE w:val="0"/>
              <w:adjustRightInd w:val="0"/>
              <w:spacing w:after="0" w:line="240" w:lineRule="auto"/>
              <w:rPr>
                <w:rFonts w:cs="Calibri"/>
                <w:b/>
                <w:bCs/>
                <w:kern w:val="2"/>
                <w:sz w:val="18"/>
                <w:szCs w:val="18"/>
              </w:rPr>
            </w:pPr>
            <w:r>
              <w:rPr>
                <w:rFonts w:cs="Calibri"/>
                <w:b/>
                <w:bCs/>
                <w:kern w:val="2"/>
                <w:sz w:val="18"/>
                <w:szCs w:val="18"/>
              </w:rPr>
              <w:lastRenderedPageBreak/>
              <w:t>Name</w:t>
            </w:r>
          </w:p>
        </w:tc>
        <w:tc>
          <w:tcPr>
            <w:tcW w:w="2835" w:type="dxa"/>
            <w:tcBorders>
              <w:top w:val="single" w:sz="4" w:space="0" w:color="auto"/>
              <w:left w:val="single" w:sz="4" w:space="0" w:color="auto"/>
              <w:bottom w:val="single" w:sz="4" w:space="0" w:color="auto"/>
              <w:right w:val="single" w:sz="4" w:space="0" w:color="auto"/>
            </w:tcBorders>
            <w:vAlign w:val="center"/>
          </w:tcPr>
          <w:p w14:paraId="73EB0477" w14:textId="77777777" w:rsidR="00F63659" w:rsidRDefault="00F63659" w:rsidP="00CC7A1D">
            <w:pPr>
              <w:widowControl w:val="0"/>
              <w:autoSpaceDE w:val="0"/>
              <w:adjustRightInd w:val="0"/>
              <w:spacing w:after="0" w:line="240" w:lineRule="auto"/>
              <w:jc w:val="right"/>
              <w:rPr>
                <w:rFonts w:cs="Calibri"/>
                <w:b/>
                <w:bCs/>
                <w:kern w:val="2"/>
                <w:sz w:val="18"/>
                <w:szCs w:val="18"/>
              </w:rPr>
            </w:pPr>
            <w:r>
              <w:rPr>
                <w:rFonts w:cs="Calibri"/>
                <w:b/>
                <w:bCs/>
                <w:kern w:val="2"/>
                <w:sz w:val="18"/>
                <w:szCs w:val="18"/>
              </w:rPr>
              <w:t>Number of Ordinary Shares held</w:t>
            </w:r>
          </w:p>
        </w:tc>
        <w:tc>
          <w:tcPr>
            <w:tcW w:w="3119" w:type="dxa"/>
            <w:tcBorders>
              <w:top w:val="single" w:sz="4" w:space="0" w:color="auto"/>
              <w:left w:val="single" w:sz="4" w:space="0" w:color="auto"/>
              <w:bottom w:val="single" w:sz="4" w:space="0" w:color="auto"/>
            </w:tcBorders>
            <w:vAlign w:val="center"/>
          </w:tcPr>
          <w:p w14:paraId="1A1750B4" w14:textId="77777777" w:rsidR="00F63659" w:rsidRDefault="00F63659" w:rsidP="00CC7A1D">
            <w:pPr>
              <w:widowControl w:val="0"/>
              <w:autoSpaceDE w:val="0"/>
              <w:adjustRightInd w:val="0"/>
              <w:spacing w:after="0" w:line="240" w:lineRule="auto"/>
              <w:ind w:left="5" w:hanging="5"/>
              <w:jc w:val="right"/>
              <w:rPr>
                <w:rFonts w:cs="Calibri"/>
                <w:b/>
                <w:bCs/>
                <w:kern w:val="2"/>
                <w:sz w:val="18"/>
                <w:szCs w:val="18"/>
              </w:rPr>
            </w:pPr>
            <w:r>
              <w:rPr>
                <w:rFonts w:cs="Calibri"/>
                <w:b/>
                <w:bCs/>
                <w:kern w:val="2"/>
                <w:sz w:val="18"/>
                <w:szCs w:val="18"/>
              </w:rPr>
              <w:t>Percentage of Existing Ordinary Shares</w:t>
            </w:r>
          </w:p>
        </w:tc>
      </w:tr>
      <w:tr w:rsidR="00F63659" w14:paraId="2609CEB1" w14:textId="77777777" w:rsidTr="00CC7A1D">
        <w:trPr>
          <w:trHeight w:val="20"/>
        </w:trPr>
        <w:tc>
          <w:tcPr>
            <w:tcW w:w="2972" w:type="dxa"/>
            <w:tcBorders>
              <w:top w:val="single" w:sz="4" w:space="0" w:color="auto"/>
              <w:bottom w:val="single" w:sz="4" w:space="0" w:color="auto"/>
              <w:right w:val="single" w:sz="4" w:space="0" w:color="auto"/>
            </w:tcBorders>
            <w:vAlign w:val="center"/>
          </w:tcPr>
          <w:p w14:paraId="40D3476C" w14:textId="77777777" w:rsidR="00F63659" w:rsidRDefault="00F63659" w:rsidP="00CC7A1D">
            <w:pPr>
              <w:widowControl w:val="0"/>
              <w:autoSpaceDE w:val="0"/>
              <w:adjustRightInd w:val="0"/>
              <w:spacing w:after="0" w:line="240" w:lineRule="auto"/>
              <w:rPr>
                <w:rFonts w:cs="Calibri"/>
                <w:kern w:val="2"/>
                <w:sz w:val="18"/>
                <w:szCs w:val="18"/>
              </w:rPr>
            </w:pPr>
            <w:r>
              <w:rPr>
                <w:rFonts w:cs="Calibri"/>
                <w:kern w:val="2"/>
                <w:sz w:val="18"/>
                <w:szCs w:val="18"/>
              </w:rPr>
              <w:t>Moshe Capital*</w:t>
            </w:r>
          </w:p>
        </w:tc>
        <w:tc>
          <w:tcPr>
            <w:tcW w:w="2835" w:type="dxa"/>
            <w:tcBorders>
              <w:top w:val="single" w:sz="4" w:space="0" w:color="auto"/>
              <w:left w:val="single" w:sz="4" w:space="0" w:color="auto"/>
              <w:bottom w:val="single" w:sz="4" w:space="0" w:color="auto"/>
              <w:right w:val="single" w:sz="4" w:space="0" w:color="auto"/>
            </w:tcBorders>
            <w:vAlign w:val="center"/>
          </w:tcPr>
          <w:p w14:paraId="0467C671" w14:textId="77777777" w:rsidR="00F63659" w:rsidRDefault="00F63659" w:rsidP="00CC7A1D">
            <w:pPr>
              <w:widowControl w:val="0"/>
              <w:tabs>
                <w:tab w:val="decimal" w:pos="966"/>
              </w:tabs>
              <w:autoSpaceDE w:val="0"/>
              <w:adjustRightInd w:val="0"/>
              <w:spacing w:after="0" w:line="240" w:lineRule="auto"/>
              <w:ind w:hanging="200"/>
              <w:jc w:val="right"/>
              <w:rPr>
                <w:rFonts w:cs="Calibri"/>
                <w:kern w:val="2"/>
                <w:sz w:val="18"/>
                <w:szCs w:val="18"/>
              </w:rPr>
            </w:pPr>
            <w:r>
              <w:rPr>
                <w:rFonts w:cs="Calibri"/>
                <w:kern w:val="2"/>
                <w:sz w:val="18"/>
                <w:szCs w:val="18"/>
              </w:rPr>
              <w:t>3,200,000</w:t>
            </w:r>
          </w:p>
        </w:tc>
        <w:tc>
          <w:tcPr>
            <w:tcW w:w="3119" w:type="dxa"/>
            <w:tcBorders>
              <w:top w:val="single" w:sz="4" w:space="0" w:color="auto"/>
              <w:left w:val="single" w:sz="4" w:space="0" w:color="auto"/>
              <w:bottom w:val="single" w:sz="4" w:space="0" w:color="auto"/>
            </w:tcBorders>
            <w:vAlign w:val="center"/>
          </w:tcPr>
          <w:p w14:paraId="1C34861D" w14:textId="77777777" w:rsidR="00F63659" w:rsidRDefault="00F63659" w:rsidP="00CC7A1D">
            <w:pPr>
              <w:widowControl w:val="0"/>
              <w:autoSpaceDE w:val="0"/>
              <w:adjustRightInd w:val="0"/>
              <w:spacing w:after="0" w:line="240" w:lineRule="auto"/>
              <w:ind w:hanging="200"/>
              <w:jc w:val="right"/>
              <w:rPr>
                <w:rFonts w:cs="Calibri"/>
                <w:kern w:val="2"/>
                <w:sz w:val="18"/>
                <w:szCs w:val="18"/>
              </w:rPr>
            </w:pPr>
            <w:r>
              <w:rPr>
                <w:rFonts w:cs="Calibri"/>
                <w:kern w:val="2"/>
                <w:sz w:val="18"/>
                <w:szCs w:val="18"/>
              </w:rPr>
              <w:t>9.98%</w:t>
            </w:r>
          </w:p>
        </w:tc>
      </w:tr>
      <w:tr w:rsidR="00F63659" w14:paraId="476491FD" w14:textId="77777777" w:rsidTr="00CC7A1D">
        <w:trPr>
          <w:trHeight w:val="20"/>
        </w:trPr>
        <w:tc>
          <w:tcPr>
            <w:tcW w:w="2972" w:type="dxa"/>
            <w:tcBorders>
              <w:top w:val="single" w:sz="4" w:space="0" w:color="auto"/>
              <w:bottom w:val="single" w:sz="4" w:space="0" w:color="auto"/>
              <w:right w:val="single" w:sz="4" w:space="0" w:color="auto"/>
            </w:tcBorders>
            <w:vAlign w:val="center"/>
          </w:tcPr>
          <w:p w14:paraId="614B3311" w14:textId="77777777" w:rsidR="00F63659" w:rsidRDefault="00F63659" w:rsidP="00CC7A1D">
            <w:pPr>
              <w:widowControl w:val="0"/>
              <w:autoSpaceDE w:val="0"/>
              <w:adjustRightInd w:val="0"/>
              <w:spacing w:after="0" w:line="240" w:lineRule="auto"/>
              <w:rPr>
                <w:rFonts w:cs="Calibri"/>
                <w:kern w:val="2"/>
                <w:sz w:val="18"/>
                <w:szCs w:val="18"/>
              </w:rPr>
            </w:pPr>
            <w:r>
              <w:rPr>
                <w:rFonts w:cs="Calibri"/>
                <w:kern w:val="2"/>
                <w:sz w:val="18"/>
                <w:szCs w:val="18"/>
              </w:rPr>
              <w:t>VSA Capital Private Investment Plc**</w:t>
            </w:r>
          </w:p>
        </w:tc>
        <w:tc>
          <w:tcPr>
            <w:tcW w:w="2835" w:type="dxa"/>
            <w:tcBorders>
              <w:top w:val="single" w:sz="4" w:space="0" w:color="auto"/>
              <w:left w:val="single" w:sz="4" w:space="0" w:color="auto"/>
              <w:bottom w:val="single" w:sz="4" w:space="0" w:color="auto"/>
              <w:right w:val="single" w:sz="4" w:space="0" w:color="auto"/>
            </w:tcBorders>
            <w:vAlign w:val="center"/>
          </w:tcPr>
          <w:p w14:paraId="1CF2FA0E" w14:textId="77777777" w:rsidR="00F63659" w:rsidRDefault="00F63659" w:rsidP="00CC7A1D">
            <w:pPr>
              <w:widowControl w:val="0"/>
              <w:tabs>
                <w:tab w:val="decimal" w:pos="966"/>
              </w:tabs>
              <w:autoSpaceDE w:val="0"/>
              <w:adjustRightInd w:val="0"/>
              <w:spacing w:after="0" w:line="240" w:lineRule="auto"/>
              <w:ind w:hanging="200"/>
              <w:jc w:val="right"/>
              <w:rPr>
                <w:rFonts w:cs="Calibri"/>
                <w:kern w:val="2"/>
                <w:sz w:val="18"/>
                <w:szCs w:val="18"/>
              </w:rPr>
            </w:pPr>
            <w:r>
              <w:rPr>
                <w:rFonts w:cs="Calibri"/>
                <w:kern w:val="2"/>
                <w:sz w:val="18"/>
                <w:szCs w:val="18"/>
              </w:rPr>
              <w:t xml:space="preserve">1,177,061 </w:t>
            </w:r>
          </w:p>
        </w:tc>
        <w:tc>
          <w:tcPr>
            <w:tcW w:w="3119" w:type="dxa"/>
            <w:tcBorders>
              <w:top w:val="single" w:sz="4" w:space="0" w:color="auto"/>
              <w:left w:val="single" w:sz="4" w:space="0" w:color="auto"/>
              <w:bottom w:val="single" w:sz="4" w:space="0" w:color="auto"/>
            </w:tcBorders>
            <w:vAlign w:val="center"/>
          </w:tcPr>
          <w:p w14:paraId="306FADA0" w14:textId="77777777" w:rsidR="00F63659" w:rsidRDefault="00F63659" w:rsidP="00CC7A1D">
            <w:pPr>
              <w:widowControl w:val="0"/>
              <w:autoSpaceDE w:val="0"/>
              <w:adjustRightInd w:val="0"/>
              <w:spacing w:after="0" w:line="240" w:lineRule="auto"/>
              <w:ind w:hanging="200"/>
              <w:jc w:val="right"/>
              <w:rPr>
                <w:rFonts w:cs="Calibri"/>
                <w:kern w:val="2"/>
                <w:sz w:val="18"/>
                <w:szCs w:val="18"/>
              </w:rPr>
            </w:pPr>
            <w:r>
              <w:rPr>
                <w:rFonts w:cs="Calibri"/>
                <w:kern w:val="2"/>
                <w:sz w:val="18"/>
                <w:szCs w:val="18"/>
              </w:rPr>
              <w:t>3.67%</w:t>
            </w:r>
          </w:p>
        </w:tc>
      </w:tr>
      <w:tr w:rsidR="00F63659" w14:paraId="5B50E862" w14:textId="77777777" w:rsidTr="00CC7A1D">
        <w:trPr>
          <w:trHeight w:val="20"/>
        </w:trPr>
        <w:tc>
          <w:tcPr>
            <w:tcW w:w="2972" w:type="dxa"/>
            <w:tcBorders>
              <w:top w:val="single" w:sz="4" w:space="0" w:color="auto"/>
              <w:bottom w:val="single" w:sz="4" w:space="0" w:color="auto"/>
              <w:right w:val="single" w:sz="4" w:space="0" w:color="auto"/>
            </w:tcBorders>
            <w:vAlign w:val="center"/>
          </w:tcPr>
          <w:p w14:paraId="78417FF5" w14:textId="77777777" w:rsidR="00F63659" w:rsidRDefault="00F63659" w:rsidP="00CC7A1D">
            <w:pPr>
              <w:widowControl w:val="0"/>
              <w:autoSpaceDE w:val="0"/>
              <w:adjustRightInd w:val="0"/>
              <w:spacing w:after="0" w:line="240" w:lineRule="auto"/>
              <w:rPr>
                <w:rFonts w:cs="Calibri"/>
                <w:kern w:val="2"/>
                <w:sz w:val="18"/>
                <w:szCs w:val="18"/>
              </w:rPr>
            </w:pPr>
            <w:r>
              <w:rPr>
                <w:rFonts w:cs="Calibri"/>
                <w:kern w:val="2"/>
                <w:sz w:val="18"/>
                <w:szCs w:val="18"/>
              </w:rPr>
              <w:t>M Bonner</w:t>
            </w:r>
          </w:p>
        </w:tc>
        <w:tc>
          <w:tcPr>
            <w:tcW w:w="2835" w:type="dxa"/>
            <w:tcBorders>
              <w:top w:val="single" w:sz="4" w:space="0" w:color="auto"/>
              <w:left w:val="single" w:sz="4" w:space="0" w:color="auto"/>
              <w:bottom w:val="single" w:sz="4" w:space="0" w:color="auto"/>
              <w:right w:val="single" w:sz="4" w:space="0" w:color="auto"/>
            </w:tcBorders>
            <w:vAlign w:val="center"/>
          </w:tcPr>
          <w:p w14:paraId="03D6CD2C" w14:textId="77777777" w:rsidR="00F63659" w:rsidRDefault="00F63659" w:rsidP="00CC7A1D">
            <w:pPr>
              <w:widowControl w:val="0"/>
              <w:tabs>
                <w:tab w:val="decimal" w:pos="966"/>
              </w:tabs>
              <w:autoSpaceDE w:val="0"/>
              <w:adjustRightInd w:val="0"/>
              <w:spacing w:after="0" w:line="240" w:lineRule="auto"/>
              <w:ind w:hanging="200"/>
              <w:jc w:val="right"/>
              <w:rPr>
                <w:rFonts w:cs="Calibri"/>
                <w:kern w:val="2"/>
                <w:sz w:val="18"/>
                <w:szCs w:val="18"/>
              </w:rPr>
            </w:pPr>
            <w:r>
              <w:rPr>
                <w:rFonts w:cs="Calibri"/>
                <w:kern w:val="2"/>
                <w:sz w:val="18"/>
                <w:szCs w:val="18"/>
              </w:rPr>
              <w:t>1,100,000</w:t>
            </w:r>
          </w:p>
        </w:tc>
        <w:tc>
          <w:tcPr>
            <w:tcW w:w="3119" w:type="dxa"/>
            <w:tcBorders>
              <w:top w:val="single" w:sz="4" w:space="0" w:color="auto"/>
              <w:left w:val="single" w:sz="4" w:space="0" w:color="auto"/>
              <w:bottom w:val="single" w:sz="4" w:space="0" w:color="auto"/>
            </w:tcBorders>
            <w:vAlign w:val="center"/>
          </w:tcPr>
          <w:p w14:paraId="6289CB80" w14:textId="77777777" w:rsidR="00F63659" w:rsidRDefault="00F63659" w:rsidP="00CC7A1D">
            <w:pPr>
              <w:widowControl w:val="0"/>
              <w:autoSpaceDE w:val="0"/>
              <w:adjustRightInd w:val="0"/>
              <w:spacing w:after="0" w:line="240" w:lineRule="auto"/>
              <w:ind w:hanging="200"/>
              <w:jc w:val="right"/>
              <w:rPr>
                <w:rFonts w:cs="Calibri"/>
                <w:kern w:val="2"/>
                <w:sz w:val="18"/>
                <w:szCs w:val="18"/>
              </w:rPr>
            </w:pPr>
            <w:r>
              <w:rPr>
                <w:rFonts w:cs="Calibri"/>
                <w:kern w:val="2"/>
                <w:sz w:val="18"/>
                <w:szCs w:val="18"/>
              </w:rPr>
              <w:t>3.43%</w:t>
            </w:r>
          </w:p>
        </w:tc>
      </w:tr>
      <w:tr w:rsidR="00F63659" w14:paraId="56EE0F74" w14:textId="77777777" w:rsidTr="00CC7A1D">
        <w:trPr>
          <w:trHeight w:val="20"/>
        </w:trPr>
        <w:tc>
          <w:tcPr>
            <w:tcW w:w="2972" w:type="dxa"/>
            <w:tcBorders>
              <w:top w:val="single" w:sz="4" w:space="0" w:color="auto"/>
              <w:bottom w:val="single" w:sz="4" w:space="0" w:color="auto"/>
              <w:right w:val="single" w:sz="4" w:space="0" w:color="auto"/>
            </w:tcBorders>
            <w:vAlign w:val="center"/>
          </w:tcPr>
          <w:p w14:paraId="49EFCD3F" w14:textId="77777777" w:rsidR="00F63659" w:rsidRDefault="00F63659" w:rsidP="00CC7A1D">
            <w:pPr>
              <w:widowControl w:val="0"/>
              <w:autoSpaceDE w:val="0"/>
              <w:adjustRightInd w:val="0"/>
              <w:spacing w:after="0" w:line="240" w:lineRule="auto"/>
              <w:rPr>
                <w:rFonts w:cs="Calibri"/>
                <w:kern w:val="2"/>
                <w:sz w:val="18"/>
                <w:szCs w:val="18"/>
              </w:rPr>
            </w:pPr>
            <w:r>
              <w:rPr>
                <w:rFonts w:cs="Calibri"/>
                <w:kern w:val="2"/>
                <w:sz w:val="18"/>
                <w:szCs w:val="18"/>
              </w:rPr>
              <w:t>P Welker</w:t>
            </w:r>
          </w:p>
        </w:tc>
        <w:tc>
          <w:tcPr>
            <w:tcW w:w="2835" w:type="dxa"/>
            <w:tcBorders>
              <w:top w:val="single" w:sz="4" w:space="0" w:color="auto"/>
              <w:left w:val="single" w:sz="4" w:space="0" w:color="auto"/>
              <w:bottom w:val="single" w:sz="4" w:space="0" w:color="auto"/>
              <w:right w:val="single" w:sz="4" w:space="0" w:color="auto"/>
            </w:tcBorders>
            <w:vAlign w:val="center"/>
          </w:tcPr>
          <w:p w14:paraId="0FA1B4F8" w14:textId="77777777" w:rsidR="00F63659" w:rsidRDefault="00F63659" w:rsidP="00CC7A1D">
            <w:pPr>
              <w:widowControl w:val="0"/>
              <w:tabs>
                <w:tab w:val="decimal" w:pos="966"/>
              </w:tabs>
              <w:autoSpaceDE w:val="0"/>
              <w:adjustRightInd w:val="0"/>
              <w:spacing w:after="0" w:line="240" w:lineRule="auto"/>
              <w:jc w:val="right"/>
              <w:rPr>
                <w:rFonts w:cs="Calibri"/>
                <w:kern w:val="2"/>
                <w:sz w:val="18"/>
                <w:szCs w:val="18"/>
              </w:rPr>
            </w:pPr>
            <w:r>
              <w:rPr>
                <w:rFonts w:cs="Calibri"/>
                <w:kern w:val="2"/>
                <w:sz w:val="18"/>
                <w:szCs w:val="18"/>
              </w:rPr>
              <w:t>1,100,000</w:t>
            </w:r>
          </w:p>
        </w:tc>
        <w:tc>
          <w:tcPr>
            <w:tcW w:w="3119" w:type="dxa"/>
            <w:tcBorders>
              <w:top w:val="single" w:sz="4" w:space="0" w:color="auto"/>
              <w:left w:val="single" w:sz="4" w:space="0" w:color="auto"/>
              <w:bottom w:val="single" w:sz="4" w:space="0" w:color="auto"/>
            </w:tcBorders>
            <w:vAlign w:val="center"/>
          </w:tcPr>
          <w:p w14:paraId="49A841B8" w14:textId="77777777" w:rsidR="00F63659" w:rsidRDefault="00F63659" w:rsidP="00CC7A1D">
            <w:pPr>
              <w:widowControl w:val="0"/>
              <w:autoSpaceDE w:val="0"/>
              <w:adjustRightInd w:val="0"/>
              <w:spacing w:after="0" w:line="240" w:lineRule="auto"/>
              <w:ind w:hanging="200"/>
              <w:jc w:val="right"/>
              <w:rPr>
                <w:rFonts w:cs="Calibri"/>
                <w:kern w:val="2"/>
                <w:sz w:val="18"/>
                <w:szCs w:val="18"/>
              </w:rPr>
            </w:pPr>
            <w:r>
              <w:rPr>
                <w:rFonts w:cs="Calibri"/>
                <w:kern w:val="2"/>
                <w:sz w:val="18"/>
                <w:szCs w:val="18"/>
              </w:rPr>
              <w:t>3.43%</w:t>
            </w:r>
          </w:p>
        </w:tc>
      </w:tr>
    </w:tbl>
    <w:p w14:paraId="05D3A64B" w14:textId="77777777" w:rsidR="00F63659" w:rsidRDefault="00F63659" w:rsidP="00F63659">
      <w:pPr>
        <w:widowControl w:val="0"/>
        <w:autoSpaceDE w:val="0"/>
        <w:adjustRightInd w:val="0"/>
        <w:spacing w:after="0" w:line="240" w:lineRule="auto"/>
        <w:jc w:val="both"/>
        <w:rPr>
          <w:rFonts w:cs="Calibri"/>
          <w:kern w:val="2"/>
          <w:sz w:val="18"/>
          <w:szCs w:val="18"/>
        </w:rPr>
      </w:pPr>
      <w:r>
        <w:rPr>
          <w:rFonts w:cs="Calibri"/>
          <w:kern w:val="2"/>
          <w:sz w:val="18"/>
          <w:szCs w:val="18"/>
        </w:rPr>
        <w:t>*Two of the Directors, M Moshe and K Asare-Bediako, are shareholders in Moshe Capital holding 75 % and 25% of the share capital of Moshe Capital respectively. Moshe Capital is not engaged to provide services to the company.</w:t>
      </w:r>
    </w:p>
    <w:p w14:paraId="239F33DC" w14:textId="77777777" w:rsidR="00F63659" w:rsidRDefault="00F63659" w:rsidP="00F63659">
      <w:pPr>
        <w:widowControl w:val="0"/>
        <w:autoSpaceDE w:val="0"/>
        <w:adjustRightInd w:val="0"/>
        <w:spacing w:after="0" w:line="240" w:lineRule="auto"/>
        <w:jc w:val="both"/>
        <w:rPr>
          <w:rFonts w:cs="Calibri"/>
          <w:kern w:val="2"/>
          <w:sz w:val="18"/>
          <w:szCs w:val="18"/>
        </w:rPr>
      </w:pPr>
      <w:r>
        <w:rPr>
          <w:rFonts w:cs="Calibri"/>
          <w:kern w:val="2"/>
          <w:sz w:val="18"/>
          <w:szCs w:val="18"/>
        </w:rPr>
        <w:t>**A Monk is a director of VSA Capital</w:t>
      </w:r>
    </w:p>
    <w:p w14:paraId="2D9543A2"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 xml:space="preserve">Dividend policy </w:t>
      </w:r>
    </w:p>
    <w:p w14:paraId="525066FB"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Company's current intention is to retain any earnings for use in its business operations, and the Company does not anticipate declaring any dividends in the foreseeable future. The Company will only pay dividends to the extent that to do so is in accordance with all applicable laws.</w:t>
      </w:r>
    </w:p>
    <w:p w14:paraId="718B8FCF" w14:textId="77777777" w:rsidR="00F63659" w:rsidRDefault="00F63659" w:rsidP="00F63659">
      <w:pPr>
        <w:widowControl w:val="0"/>
        <w:autoSpaceDE w:val="0"/>
        <w:adjustRightInd w:val="0"/>
        <w:spacing w:before="120" w:after="0" w:line="240" w:lineRule="auto"/>
        <w:jc w:val="both"/>
        <w:rPr>
          <w:rFonts w:cs="Calibri"/>
          <w:kern w:val="2"/>
          <w:sz w:val="2"/>
          <w:szCs w:val="2"/>
        </w:rPr>
      </w:pPr>
    </w:p>
    <w:p w14:paraId="1218F63B"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Auditors and disclosure of information</w:t>
      </w:r>
    </w:p>
    <w:p w14:paraId="62AAFCFD"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The directors confirm that:</w:t>
      </w:r>
    </w:p>
    <w:p w14:paraId="54B861A8" w14:textId="77777777" w:rsidR="00F63659" w:rsidRDefault="00F63659" w:rsidP="00F63659">
      <w:pPr>
        <w:numPr>
          <w:ilvl w:val="0"/>
          <w:numId w:val="2"/>
        </w:numPr>
        <w:suppressAutoHyphens w:val="0"/>
        <w:autoSpaceDE w:val="0"/>
        <w:adjustRightInd w:val="0"/>
        <w:spacing w:after="0" w:line="240" w:lineRule="auto"/>
        <w:ind w:left="720" w:hanging="360"/>
        <w:jc w:val="both"/>
        <w:textAlignment w:val="auto"/>
        <w:rPr>
          <w:rFonts w:cs="Calibri"/>
          <w:kern w:val="2"/>
          <w:sz w:val="18"/>
          <w:szCs w:val="18"/>
        </w:rPr>
      </w:pPr>
      <w:r>
        <w:rPr>
          <w:rFonts w:cs="Calibri"/>
          <w:kern w:val="2"/>
          <w:sz w:val="18"/>
          <w:szCs w:val="18"/>
        </w:rPr>
        <w:t>there is no relevant audit information of which the Company’s statutory auditor is unaware; and</w:t>
      </w:r>
    </w:p>
    <w:p w14:paraId="40874B83" w14:textId="77777777" w:rsidR="00F63659" w:rsidRDefault="00F63659" w:rsidP="00F63659">
      <w:pPr>
        <w:numPr>
          <w:ilvl w:val="0"/>
          <w:numId w:val="2"/>
        </w:numPr>
        <w:suppressAutoHyphens w:val="0"/>
        <w:autoSpaceDE w:val="0"/>
        <w:adjustRightInd w:val="0"/>
        <w:spacing w:after="0" w:line="240" w:lineRule="auto"/>
        <w:ind w:left="720" w:hanging="360"/>
        <w:jc w:val="both"/>
        <w:textAlignment w:val="auto"/>
        <w:rPr>
          <w:rFonts w:cs="Calibri"/>
          <w:kern w:val="2"/>
          <w:sz w:val="18"/>
          <w:szCs w:val="18"/>
        </w:rPr>
      </w:pPr>
      <w:r>
        <w:rPr>
          <w:rFonts w:cs="Calibri"/>
          <w:kern w:val="2"/>
          <w:sz w:val="18"/>
          <w:szCs w:val="18"/>
        </w:rPr>
        <w:t>each Director has taken all the necessary steps he ought to have taken as a Director in order to make himself aware of any relevant audit information and to establish that the Company’s statutory auditor is aware of that information.</w:t>
      </w:r>
    </w:p>
    <w:p w14:paraId="2168C67F"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This conﬁrmation is given and should be interpreted in accordance with the provisions of Section 418 of the Companies Act 2006.</w:t>
      </w:r>
    </w:p>
    <w:p w14:paraId="4B93AAD0"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Responsibility Statement</w:t>
      </w:r>
    </w:p>
    <w:p w14:paraId="7B0CBBA2"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directors are responsible for preparing the annual report and the financial statements in accordance with applicable law and regulations. Company law requires the directors to prepare financial statements for each financial period. Under that law the directors have elected to prepare financial statements for the Company in accordance with International Financial Reporting Standards (IFRS).</w:t>
      </w:r>
    </w:p>
    <w:p w14:paraId="32874065"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Under company law the directors must not approve the ﬁnancial statements unless they are satisﬁed that they give a true and fair view of the state of affairs of the Company and of the proﬁt or loss of the company for that period. In preparing these ﬁnancial statements, the directors are required to:</w:t>
      </w:r>
    </w:p>
    <w:p w14:paraId="09BE36FD" w14:textId="77777777" w:rsidR="00F63659" w:rsidRDefault="00F63659" w:rsidP="00F63659">
      <w:pPr>
        <w:numPr>
          <w:ilvl w:val="0"/>
          <w:numId w:val="2"/>
        </w:numPr>
        <w:suppressAutoHyphens w:val="0"/>
        <w:autoSpaceDE w:val="0"/>
        <w:adjustRightInd w:val="0"/>
        <w:spacing w:after="0" w:line="252" w:lineRule="auto"/>
        <w:ind w:left="709" w:hanging="360"/>
        <w:textAlignment w:val="auto"/>
        <w:rPr>
          <w:rFonts w:cs="Calibri"/>
          <w:sz w:val="18"/>
          <w:szCs w:val="18"/>
          <w:lang w:val="en-MY"/>
        </w:rPr>
      </w:pPr>
      <w:r>
        <w:rPr>
          <w:rFonts w:cs="Calibri"/>
          <w:sz w:val="18"/>
          <w:szCs w:val="18"/>
          <w:lang w:val="en-MY"/>
        </w:rPr>
        <w:t>select suitable accounting policies and then apply them consistently;</w:t>
      </w:r>
    </w:p>
    <w:p w14:paraId="615048A6" w14:textId="77777777" w:rsidR="00F63659" w:rsidRDefault="00F63659" w:rsidP="00F63659">
      <w:pPr>
        <w:numPr>
          <w:ilvl w:val="0"/>
          <w:numId w:val="2"/>
        </w:numPr>
        <w:suppressAutoHyphens w:val="0"/>
        <w:autoSpaceDE w:val="0"/>
        <w:adjustRightInd w:val="0"/>
        <w:spacing w:after="0" w:line="252" w:lineRule="auto"/>
        <w:ind w:left="709" w:hanging="360"/>
        <w:textAlignment w:val="auto"/>
        <w:rPr>
          <w:rFonts w:cs="Calibri"/>
          <w:sz w:val="18"/>
          <w:szCs w:val="18"/>
          <w:lang w:val="en-MY"/>
        </w:rPr>
      </w:pPr>
      <w:r>
        <w:rPr>
          <w:rFonts w:cs="Calibri"/>
          <w:sz w:val="18"/>
          <w:szCs w:val="18"/>
          <w:lang w:val="en-MY"/>
        </w:rPr>
        <w:t>make judgements and estimates that are reasonable and prudent;</w:t>
      </w:r>
    </w:p>
    <w:p w14:paraId="5FFFDFBF" w14:textId="77777777" w:rsidR="00F63659" w:rsidRDefault="00F63659" w:rsidP="00F63659">
      <w:pPr>
        <w:numPr>
          <w:ilvl w:val="0"/>
          <w:numId w:val="2"/>
        </w:numPr>
        <w:suppressAutoHyphens w:val="0"/>
        <w:autoSpaceDE w:val="0"/>
        <w:adjustRightInd w:val="0"/>
        <w:spacing w:after="0" w:line="252" w:lineRule="auto"/>
        <w:ind w:left="709" w:hanging="360"/>
        <w:textAlignment w:val="auto"/>
        <w:rPr>
          <w:rFonts w:cs="Calibri"/>
          <w:sz w:val="18"/>
          <w:szCs w:val="18"/>
          <w:lang w:val="en-MY"/>
        </w:rPr>
      </w:pPr>
      <w:r>
        <w:rPr>
          <w:rFonts w:cs="Calibri"/>
          <w:sz w:val="18"/>
          <w:szCs w:val="18"/>
          <w:lang w:val="en-MY"/>
        </w:rPr>
        <w:t>state whether applicable accounting standards have been followed, subject to any material departures disclosed and explained in the financial statements;</w:t>
      </w:r>
    </w:p>
    <w:p w14:paraId="76377B40" w14:textId="77777777" w:rsidR="00F63659" w:rsidRDefault="00F63659" w:rsidP="00F63659">
      <w:pPr>
        <w:numPr>
          <w:ilvl w:val="0"/>
          <w:numId w:val="2"/>
        </w:numPr>
        <w:suppressAutoHyphens w:val="0"/>
        <w:autoSpaceDE w:val="0"/>
        <w:adjustRightInd w:val="0"/>
        <w:spacing w:after="0" w:line="252" w:lineRule="auto"/>
        <w:ind w:left="709" w:hanging="360"/>
        <w:textAlignment w:val="auto"/>
        <w:rPr>
          <w:rFonts w:cs="Calibri"/>
          <w:sz w:val="18"/>
          <w:szCs w:val="18"/>
          <w:lang w:val="en-MY"/>
        </w:rPr>
      </w:pPr>
      <w:r>
        <w:rPr>
          <w:rFonts w:cs="Calibri"/>
          <w:sz w:val="18"/>
          <w:szCs w:val="18"/>
          <w:lang w:val="en-MY"/>
        </w:rPr>
        <w:t>prepare the financial statements on the going concern basis unless it is inappropriate to presume that the Company will continue in business.</w:t>
      </w:r>
    </w:p>
    <w:p w14:paraId="4980306C"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directors are responsible for keeping adequate accounting records which disclose with reasonable accuracy at any time, the financial position of the Company to enable them to ensure that the financial statements comply with the requirements of the Companies Act 2006. They are also responsible for safeguarding the assets of the Company and hence for taking reasonable steps for the prevention and detection of fraud and other irregularities.</w:t>
      </w:r>
    </w:p>
    <w:p w14:paraId="55CE87E8"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maintenance and integrity of the Mining, Minerals &amp; Metals Plc website is the responsibility of the Directors; work carried out by the auditors does not involve the consideration of these matters and, accordingly, the auditors accept no responsibility for any changes that may have occurred in the accounts since they were initially presented on the website.</w:t>
      </w:r>
    </w:p>
    <w:p w14:paraId="6F40C5F7" w14:textId="77777777" w:rsidR="00F63659" w:rsidRDefault="00F63659" w:rsidP="00F63659">
      <w:pPr>
        <w:widowControl w:val="0"/>
        <w:autoSpaceDE w:val="0"/>
        <w:adjustRightInd w:val="0"/>
        <w:spacing w:before="120" w:after="120" w:line="240" w:lineRule="auto"/>
        <w:jc w:val="both"/>
        <w:rPr>
          <w:rFonts w:cs="Calibri"/>
          <w:kern w:val="2"/>
          <w:sz w:val="18"/>
          <w:szCs w:val="18"/>
        </w:rPr>
      </w:pPr>
      <w:r>
        <w:rPr>
          <w:rFonts w:cs="Calibri"/>
          <w:kern w:val="2"/>
          <w:sz w:val="18"/>
          <w:szCs w:val="18"/>
        </w:rPr>
        <w:t xml:space="preserve">The directors confirm, to the best of their knowledge that: </w:t>
      </w:r>
    </w:p>
    <w:p w14:paraId="22F78A25" w14:textId="77777777" w:rsidR="00F63659" w:rsidRDefault="00F63659" w:rsidP="00F63659">
      <w:pPr>
        <w:numPr>
          <w:ilvl w:val="0"/>
          <w:numId w:val="2"/>
        </w:numPr>
        <w:suppressAutoHyphens w:val="0"/>
        <w:autoSpaceDE w:val="0"/>
        <w:adjustRightInd w:val="0"/>
        <w:spacing w:after="0" w:line="240" w:lineRule="auto"/>
        <w:ind w:left="720" w:hanging="360"/>
        <w:jc w:val="both"/>
        <w:textAlignment w:val="auto"/>
        <w:rPr>
          <w:rFonts w:cs="Calibri"/>
          <w:kern w:val="2"/>
          <w:sz w:val="18"/>
          <w:szCs w:val="18"/>
        </w:rPr>
      </w:pPr>
      <w:r>
        <w:rPr>
          <w:rFonts w:cs="Calibri"/>
          <w:kern w:val="2"/>
          <w:sz w:val="18"/>
          <w:szCs w:val="18"/>
        </w:rPr>
        <w:t>the financial statements, prepared in accordance with the relevant financial reporting framework, give a true and fair view of the assets, liabilities, financial position and profit or loss of the Company; and</w:t>
      </w:r>
    </w:p>
    <w:p w14:paraId="0D7B7933" w14:textId="77777777" w:rsidR="00F63659" w:rsidRDefault="00F63659" w:rsidP="00F63659">
      <w:pPr>
        <w:numPr>
          <w:ilvl w:val="0"/>
          <w:numId w:val="2"/>
        </w:numPr>
        <w:suppressAutoHyphens w:val="0"/>
        <w:autoSpaceDE w:val="0"/>
        <w:adjustRightInd w:val="0"/>
        <w:spacing w:after="0" w:line="240" w:lineRule="auto"/>
        <w:ind w:left="720" w:hanging="360"/>
        <w:jc w:val="both"/>
        <w:textAlignment w:val="auto"/>
        <w:rPr>
          <w:rFonts w:cs="Calibri"/>
          <w:kern w:val="2"/>
          <w:sz w:val="18"/>
          <w:szCs w:val="18"/>
        </w:rPr>
      </w:pPr>
      <w:r>
        <w:rPr>
          <w:rFonts w:cs="Calibri"/>
          <w:kern w:val="2"/>
          <w:sz w:val="18"/>
          <w:szCs w:val="18"/>
        </w:rPr>
        <w:t>the Strategic Report include a fair review of the development and performance of the business and the financial position of the Company, together with a description of the principal risks and uncertainties that it faces.</w:t>
      </w:r>
    </w:p>
    <w:p w14:paraId="54E53F24" w14:textId="77777777" w:rsidR="00F63659" w:rsidRDefault="00F63659" w:rsidP="00F63659">
      <w:pPr>
        <w:numPr>
          <w:ilvl w:val="0"/>
          <w:numId w:val="2"/>
        </w:numPr>
        <w:suppressAutoHyphens w:val="0"/>
        <w:autoSpaceDE w:val="0"/>
        <w:adjustRightInd w:val="0"/>
        <w:spacing w:after="0" w:line="240" w:lineRule="auto"/>
        <w:ind w:left="720" w:hanging="360"/>
        <w:jc w:val="both"/>
        <w:textAlignment w:val="auto"/>
        <w:rPr>
          <w:rFonts w:cs="Calibri"/>
          <w:kern w:val="2"/>
          <w:sz w:val="18"/>
          <w:szCs w:val="18"/>
        </w:rPr>
      </w:pPr>
      <w:r>
        <w:rPr>
          <w:rFonts w:cs="Calibri"/>
          <w:kern w:val="2"/>
          <w:sz w:val="18"/>
          <w:szCs w:val="18"/>
        </w:rPr>
        <w:t>the annual report and financial statements, taken as a whole, are fair, balanced and understandable and provide the information necessary for shareholders to assess the company’s performance, business model and strategy.</w:t>
      </w:r>
    </w:p>
    <w:p w14:paraId="79B428F5"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Financial risk management and future development</w:t>
      </w:r>
    </w:p>
    <w:p w14:paraId="0F9439E4"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lastRenderedPageBreak/>
        <w:t>An indication of the likely future developments in the business of the Company are included in the Strategic Report.</w:t>
      </w:r>
    </w:p>
    <w:p w14:paraId="447D8F1C"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An explanation of the Company’s financial risk management objectives, policies and strategies is set out in note 8.</w:t>
      </w:r>
    </w:p>
    <w:p w14:paraId="1FE7F041"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Auditors</w:t>
      </w:r>
    </w:p>
    <w:p w14:paraId="1FF8A13E"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auditors, Crowe U.K. LLP, have expressed their willingness to continue in office and a resolution to reappoint them will be proposed at the Annual General Meeting.</w:t>
      </w:r>
    </w:p>
    <w:p w14:paraId="204E80C5" w14:textId="77777777" w:rsidR="00F63659" w:rsidRDefault="00F63659" w:rsidP="00F63659">
      <w:pPr>
        <w:widowControl w:val="0"/>
        <w:autoSpaceDE w:val="0"/>
        <w:adjustRightInd w:val="0"/>
        <w:spacing w:before="120" w:after="0" w:line="240" w:lineRule="auto"/>
        <w:jc w:val="both"/>
        <w:rPr>
          <w:rFonts w:cs="Calibri"/>
          <w:b/>
          <w:bCs/>
          <w:kern w:val="2"/>
          <w:sz w:val="18"/>
          <w:szCs w:val="18"/>
        </w:rPr>
      </w:pPr>
      <w:r>
        <w:rPr>
          <w:rFonts w:cs="Calibri"/>
          <w:b/>
          <w:bCs/>
          <w:kern w:val="2"/>
          <w:sz w:val="18"/>
          <w:szCs w:val="18"/>
        </w:rPr>
        <w:t>Events after the reporting date</w:t>
      </w:r>
    </w:p>
    <w:p w14:paraId="7EAED6B6"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On 15 February 2021 A Monk and M Bonner resigned as directors of the Company and J Martin Smith was appointed as a director of the Company.</w:t>
      </w:r>
    </w:p>
    <w:p w14:paraId="146FF975" w14:textId="77777777" w:rsidR="00F63659" w:rsidRDefault="00F63659" w:rsidP="00F63659">
      <w:pPr>
        <w:widowControl w:val="0"/>
        <w:autoSpaceDE w:val="0"/>
        <w:adjustRightInd w:val="0"/>
        <w:spacing w:before="120" w:after="0" w:line="240" w:lineRule="auto"/>
        <w:jc w:val="both"/>
        <w:rPr>
          <w:rFonts w:cs="Calibri"/>
          <w:kern w:val="2"/>
          <w:sz w:val="18"/>
          <w:szCs w:val="18"/>
        </w:rPr>
      </w:pPr>
    </w:p>
    <w:p w14:paraId="26C1C25D"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The Directors’ Report was approved by the Board of Directors on 28 May 2021 and is signed on its behalf by:</w:t>
      </w:r>
    </w:p>
    <w:p w14:paraId="724A40D9" w14:textId="77777777" w:rsidR="00F63659" w:rsidRDefault="00F63659" w:rsidP="00F63659">
      <w:pPr>
        <w:widowControl w:val="0"/>
        <w:autoSpaceDE w:val="0"/>
        <w:adjustRightInd w:val="0"/>
        <w:spacing w:before="120" w:after="0" w:line="240" w:lineRule="auto"/>
        <w:jc w:val="both"/>
        <w:rPr>
          <w:rFonts w:cs="Calibri"/>
          <w:kern w:val="2"/>
          <w:sz w:val="18"/>
          <w:szCs w:val="18"/>
        </w:rPr>
      </w:pPr>
    </w:p>
    <w:p w14:paraId="25A6C795" w14:textId="77777777" w:rsidR="00F63659" w:rsidRDefault="00F63659" w:rsidP="00F63659">
      <w:pPr>
        <w:widowControl w:val="0"/>
        <w:autoSpaceDE w:val="0"/>
        <w:adjustRightInd w:val="0"/>
        <w:spacing w:before="120" w:after="0" w:line="240" w:lineRule="auto"/>
        <w:jc w:val="both"/>
        <w:rPr>
          <w:rFonts w:cs="Calibri"/>
          <w:kern w:val="2"/>
          <w:sz w:val="18"/>
          <w:szCs w:val="18"/>
        </w:rPr>
      </w:pPr>
    </w:p>
    <w:p w14:paraId="0A43779F" w14:textId="77777777" w:rsidR="00F63659" w:rsidRDefault="00F63659" w:rsidP="00F63659">
      <w:pPr>
        <w:widowControl w:val="0"/>
        <w:autoSpaceDE w:val="0"/>
        <w:adjustRightInd w:val="0"/>
        <w:spacing w:after="0" w:line="240" w:lineRule="auto"/>
        <w:jc w:val="both"/>
        <w:rPr>
          <w:rFonts w:cs="Calibri"/>
          <w:b/>
          <w:bCs/>
          <w:kern w:val="2"/>
          <w:sz w:val="18"/>
          <w:szCs w:val="18"/>
        </w:rPr>
      </w:pPr>
      <w:r>
        <w:rPr>
          <w:rFonts w:cs="Calibri"/>
          <w:b/>
          <w:bCs/>
          <w:kern w:val="2"/>
          <w:sz w:val="18"/>
          <w:szCs w:val="18"/>
        </w:rPr>
        <w:t>Roy Pitchford</w:t>
      </w:r>
    </w:p>
    <w:p w14:paraId="5950D618" w14:textId="77777777" w:rsidR="00F63659" w:rsidRDefault="00F63659" w:rsidP="00F63659">
      <w:pPr>
        <w:widowControl w:val="0"/>
        <w:autoSpaceDE w:val="0"/>
        <w:adjustRightInd w:val="0"/>
        <w:spacing w:after="0" w:line="240" w:lineRule="auto"/>
        <w:jc w:val="both"/>
        <w:rPr>
          <w:rFonts w:cs="Calibri"/>
          <w:i/>
          <w:iCs/>
          <w:kern w:val="2"/>
          <w:sz w:val="18"/>
          <w:szCs w:val="18"/>
        </w:rPr>
      </w:pPr>
      <w:r>
        <w:rPr>
          <w:rFonts w:cs="Calibri"/>
          <w:i/>
          <w:iCs/>
          <w:kern w:val="2"/>
          <w:sz w:val="18"/>
          <w:szCs w:val="18"/>
        </w:rPr>
        <w:t>Director</w:t>
      </w:r>
    </w:p>
    <w:p w14:paraId="0D322D90" w14:textId="77777777" w:rsidR="00F63659" w:rsidRDefault="00F63659" w:rsidP="00F63659">
      <w:pPr>
        <w:widowControl w:val="0"/>
        <w:autoSpaceDE w:val="0"/>
        <w:adjustRightInd w:val="0"/>
        <w:spacing w:after="0" w:line="240" w:lineRule="auto"/>
        <w:jc w:val="both"/>
        <w:rPr>
          <w:rFonts w:cs="Calibri"/>
          <w:i/>
          <w:iCs/>
          <w:kern w:val="2"/>
          <w:sz w:val="18"/>
          <w:szCs w:val="18"/>
        </w:rPr>
      </w:pPr>
      <w:r>
        <w:rPr>
          <w:rFonts w:cs="Calibri"/>
          <w:i/>
          <w:iCs/>
          <w:kern w:val="2"/>
          <w:sz w:val="18"/>
          <w:szCs w:val="18"/>
        </w:rPr>
        <w:t xml:space="preserve">28 May 2021 </w:t>
      </w:r>
    </w:p>
    <w:p w14:paraId="1C59602B" w14:textId="77777777" w:rsidR="004B6603" w:rsidRDefault="004B6603" w:rsidP="00F63659">
      <w:pPr>
        <w:autoSpaceDE w:val="0"/>
        <w:adjustRightInd w:val="0"/>
        <w:spacing w:before="288" w:after="0" w:line="240" w:lineRule="auto"/>
        <w:rPr>
          <w:rFonts w:cs="Calibri"/>
          <w:b/>
          <w:bCs/>
          <w:kern w:val="2"/>
          <w:sz w:val="18"/>
          <w:szCs w:val="18"/>
        </w:rPr>
      </w:pPr>
    </w:p>
    <w:p w14:paraId="590AB4CB" w14:textId="49D8C70F" w:rsidR="00F63659" w:rsidRDefault="00F63659" w:rsidP="00F63659">
      <w:pPr>
        <w:autoSpaceDE w:val="0"/>
        <w:adjustRightInd w:val="0"/>
        <w:spacing w:before="288" w:after="0" w:line="240" w:lineRule="auto"/>
        <w:rPr>
          <w:rFonts w:cs="Calibri"/>
          <w:kern w:val="2"/>
          <w:sz w:val="20"/>
          <w:szCs w:val="20"/>
        </w:rPr>
      </w:pPr>
      <w:r>
        <w:rPr>
          <w:rFonts w:cs="Calibri"/>
          <w:b/>
          <w:bCs/>
          <w:kern w:val="2"/>
          <w:sz w:val="18"/>
          <w:szCs w:val="18"/>
        </w:rPr>
        <w:t>INDEPENDENT AUDITOR’S REPORT TO THE MEMBERS OF MINING, MINERALS &amp; METALS PLC</w:t>
      </w:r>
    </w:p>
    <w:p w14:paraId="0AC6B487"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 xml:space="preserve">Opinion </w:t>
      </w:r>
    </w:p>
    <w:p w14:paraId="04085E49"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We have audited the financial statements of Mining, Minerals &amp; Metals Plc (the “Company”) for the year ended 31 January 2021 which comprise Statement of Comprehensive Income, Statement of Financial Position, Statement of Changes in Equity and Statement of Cash Flow and notes to the financial statements, including significant accounting policies. The financial reporting framework that has been applied in their preparation is applicable law and International Accounting Standards in conformity with the requirements of the Companies Act 2006 and International Financial Reporting Standards adopted pursuant to Regulation (EC) No. 1606/2002 as it applies in the European Union.</w:t>
      </w:r>
    </w:p>
    <w:p w14:paraId="5015D5AF"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In our opinion, the financial statements:</w:t>
      </w:r>
    </w:p>
    <w:p w14:paraId="70B37922" w14:textId="77777777" w:rsidR="00F63659" w:rsidRDefault="00F63659" w:rsidP="00F63659">
      <w:pPr>
        <w:numPr>
          <w:ilvl w:val="0"/>
          <w:numId w:val="3"/>
        </w:numPr>
        <w:suppressAutoHyphens w:val="0"/>
        <w:autoSpaceDE w:val="0"/>
        <w:adjustRightInd w:val="0"/>
        <w:spacing w:before="288" w:after="0" w:line="240" w:lineRule="auto"/>
        <w:ind w:left="720" w:hanging="360"/>
        <w:textAlignment w:val="auto"/>
        <w:rPr>
          <w:rFonts w:cs="Calibri"/>
          <w:kern w:val="2"/>
          <w:sz w:val="18"/>
          <w:szCs w:val="18"/>
        </w:rPr>
      </w:pPr>
      <w:r>
        <w:rPr>
          <w:rFonts w:cs="Calibri"/>
          <w:kern w:val="2"/>
          <w:sz w:val="18"/>
          <w:szCs w:val="18"/>
        </w:rPr>
        <w:t>give a true and fair view of the state of the company’s affairs as at 31 January 2021 and of its loss for the year then ended;</w:t>
      </w:r>
    </w:p>
    <w:p w14:paraId="303AF009" w14:textId="77777777" w:rsidR="00F63659" w:rsidRDefault="00F63659" w:rsidP="00F63659">
      <w:pPr>
        <w:numPr>
          <w:ilvl w:val="0"/>
          <w:numId w:val="3"/>
        </w:numPr>
        <w:suppressAutoHyphens w:val="0"/>
        <w:autoSpaceDE w:val="0"/>
        <w:adjustRightInd w:val="0"/>
        <w:spacing w:before="288" w:after="0" w:line="240" w:lineRule="auto"/>
        <w:ind w:left="720" w:hanging="360"/>
        <w:textAlignment w:val="auto"/>
        <w:rPr>
          <w:rFonts w:cs="Calibri"/>
          <w:kern w:val="2"/>
          <w:sz w:val="18"/>
          <w:szCs w:val="18"/>
        </w:rPr>
      </w:pPr>
      <w:r>
        <w:rPr>
          <w:rFonts w:cs="Calibri"/>
          <w:kern w:val="2"/>
          <w:sz w:val="18"/>
          <w:szCs w:val="18"/>
        </w:rPr>
        <w:t>have been properly prepared in accordance with International Accounting Standards in conformity with the requirements of the Companies Act 2006 and International Financial Reporting Standards adopted pursuant to Regulation (EC) No. 1606/2002 as it applies in the European Union;</w:t>
      </w:r>
    </w:p>
    <w:p w14:paraId="60174549" w14:textId="77777777" w:rsidR="00F63659" w:rsidRDefault="00F63659" w:rsidP="00F63659">
      <w:pPr>
        <w:numPr>
          <w:ilvl w:val="0"/>
          <w:numId w:val="3"/>
        </w:numPr>
        <w:suppressAutoHyphens w:val="0"/>
        <w:autoSpaceDE w:val="0"/>
        <w:adjustRightInd w:val="0"/>
        <w:spacing w:before="288" w:after="0" w:line="240" w:lineRule="auto"/>
        <w:ind w:left="720" w:hanging="360"/>
        <w:textAlignment w:val="auto"/>
        <w:rPr>
          <w:rFonts w:cs="Calibri"/>
          <w:kern w:val="2"/>
          <w:sz w:val="18"/>
          <w:szCs w:val="18"/>
        </w:rPr>
      </w:pPr>
      <w:r>
        <w:rPr>
          <w:rFonts w:cs="Calibri"/>
          <w:kern w:val="2"/>
          <w:sz w:val="18"/>
          <w:szCs w:val="18"/>
        </w:rPr>
        <w:t>have been prepared in accordance with the requirements of the Companies Act 2006.</w:t>
      </w:r>
    </w:p>
    <w:p w14:paraId="77C9EE50" w14:textId="77777777" w:rsidR="00F63659" w:rsidRDefault="00F63659" w:rsidP="00F63659">
      <w:pPr>
        <w:widowControl w:val="0"/>
        <w:autoSpaceDE w:val="0"/>
        <w:adjustRightInd w:val="0"/>
        <w:spacing w:before="288" w:after="0" w:line="240" w:lineRule="auto"/>
        <w:jc w:val="both"/>
        <w:rPr>
          <w:rFonts w:cs="Calibri"/>
          <w:i/>
          <w:iCs/>
          <w:kern w:val="2"/>
          <w:sz w:val="18"/>
          <w:szCs w:val="18"/>
        </w:rPr>
      </w:pPr>
      <w:r>
        <w:rPr>
          <w:rFonts w:cs="Calibri"/>
          <w:b/>
          <w:bCs/>
          <w:kern w:val="2"/>
          <w:sz w:val="18"/>
          <w:szCs w:val="18"/>
        </w:rPr>
        <w:t xml:space="preserve">Basis for opinion </w:t>
      </w:r>
    </w:p>
    <w:p w14:paraId="18C86961"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5B7F5A85"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Conclusions relating to going concern</w:t>
      </w:r>
    </w:p>
    <w:p w14:paraId="3FC08791"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lastRenderedPageBreak/>
        <w:t xml:space="preserve">In auditing the financial statements, we have concluded that the directors’ use of the going concern basis of accounting in the preparation of the financial statements is appropriate. Our evaluation of the directors’ assessment of the entity’s ability to continue to adopt the going concern basis of accounting included the below in our assessment. </w:t>
      </w:r>
    </w:p>
    <w:p w14:paraId="581DAB0D"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 xml:space="preserve">We confirmed the current cash balance, reviewed the forecasted costs for the period up until 30 June 2022, compared these to the spend in the 2021 financial year and evaluated the business’ ability to continue, based on this expected burn rate of expenses. </w:t>
      </w:r>
    </w:p>
    <w:p w14:paraId="053808B6"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Based on the work we have performed, we have not identified any material uncertainties relating to events or conditions that, individually or collectively, may cast significant doubt on the Company's ability to continue as a going concern for a period of at least twelve months from when the financial statements are authorised for issue.</w:t>
      </w:r>
    </w:p>
    <w:p w14:paraId="51B2F2AD"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Our responsibilities and the responsibilities of the directors with respect to going concern are described in the relevant sections of this report.</w:t>
      </w:r>
    </w:p>
    <w:p w14:paraId="5914B867"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Overview of our audit approach</w:t>
      </w:r>
    </w:p>
    <w:p w14:paraId="0AF3344B" w14:textId="77777777" w:rsidR="00F63659" w:rsidRDefault="00F63659" w:rsidP="00F63659">
      <w:pPr>
        <w:widowControl w:val="0"/>
        <w:autoSpaceDE w:val="0"/>
        <w:adjustRightInd w:val="0"/>
        <w:spacing w:before="288" w:after="0" w:line="240" w:lineRule="auto"/>
        <w:jc w:val="both"/>
        <w:rPr>
          <w:rFonts w:cs="Calibri"/>
          <w:i/>
          <w:iCs/>
          <w:kern w:val="2"/>
          <w:sz w:val="18"/>
          <w:szCs w:val="18"/>
        </w:rPr>
      </w:pPr>
      <w:r>
        <w:rPr>
          <w:rFonts w:cs="Calibri"/>
          <w:i/>
          <w:iCs/>
          <w:kern w:val="2"/>
          <w:sz w:val="18"/>
          <w:szCs w:val="18"/>
        </w:rPr>
        <w:t>Materiality</w:t>
      </w:r>
    </w:p>
    <w:p w14:paraId="2F29D1CD"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In planning and performing our audit we applied the concept of materiality. An item is considered material if it could reasonably be expected to change the economic decisions of a user of the financial statements. We used the concept of materiality to both focus our testing and to evaluate the impact of misstatements identified.</w:t>
      </w:r>
    </w:p>
    <w:p w14:paraId="726273EB"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 xml:space="preserve">Based on our professional judgement, we determined overall materiality for the financial statements as a whole to be £10,500 (2020 £1,250), based on 5% of the net loss before tax. </w:t>
      </w:r>
    </w:p>
    <w:p w14:paraId="46060564"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 xml:space="preserve">We use a different level of materiality (‘performance materiality’) to determine the extent of our testing for the audit of the financial statements.  Performance materiality is set based on the audit materiality as adjusted for the judgements made as to the entity risk and our evaluation of the specific risk of each audit area having regard to the internal control environment.  </w:t>
      </w:r>
    </w:p>
    <w:p w14:paraId="7009B374"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Where considered appropriate performance materiality may be reduced to a lower level, such as, for related party transactions and directors’ remuneration.</w:t>
      </w:r>
    </w:p>
    <w:p w14:paraId="3F365915"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We agreed with the Audit Committee to report to it all identified errors in excess of £350 (2020: £40). Errors below that threshold would also be reported to it if, in our opinion as auditor, disclosure was required on qualitative grounds.</w:t>
      </w:r>
    </w:p>
    <w:p w14:paraId="230462DB" w14:textId="77777777" w:rsidR="00F63659" w:rsidRDefault="00F63659" w:rsidP="00F63659">
      <w:pPr>
        <w:keepNext/>
        <w:widowControl w:val="0"/>
        <w:autoSpaceDE w:val="0"/>
        <w:adjustRightInd w:val="0"/>
        <w:spacing w:before="288" w:after="0" w:line="240" w:lineRule="auto"/>
        <w:jc w:val="both"/>
        <w:rPr>
          <w:rFonts w:cs="Calibri"/>
          <w:kern w:val="2"/>
          <w:sz w:val="18"/>
          <w:szCs w:val="18"/>
        </w:rPr>
      </w:pPr>
      <w:r>
        <w:rPr>
          <w:rFonts w:cs="Calibri"/>
          <w:i/>
          <w:iCs/>
          <w:kern w:val="2"/>
          <w:sz w:val="18"/>
          <w:szCs w:val="18"/>
        </w:rPr>
        <w:t>Overview of the scope of our audit</w:t>
      </w:r>
    </w:p>
    <w:p w14:paraId="7A51386F" w14:textId="77777777" w:rsidR="00F63659" w:rsidRDefault="00F63659" w:rsidP="00F63659">
      <w:pPr>
        <w:widowControl w:val="0"/>
        <w:autoSpaceDE w:val="0"/>
        <w:adjustRightInd w:val="0"/>
        <w:spacing w:before="288" w:after="0" w:line="240" w:lineRule="auto"/>
        <w:jc w:val="both"/>
        <w:rPr>
          <w:rFonts w:cs="Calibri"/>
          <w:i/>
          <w:iCs/>
          <w:kern w:val="2"/>
          <w:sz w:val="18"/>
          <w:szCs w:val="18"/>
        </w:rPr>
      </w:pPr>
      <w:r>
        <w:rPr>
          <w:rFonts w:cs="Calibri"/>
          <w:kern w:val="2"/>
          <w:sz w:val="18"/>
          <w:szCs w:val="18"/>
        </w:rPr>
        <w:t xml:space="preserve">Mining, Minerals &amp; Metals Plc is the only component included in the scope of the audit. Its location is London, United Kingdom. </w:t>
      </w:r>
    </w:p>
    <w:p w14:paraId="18EEE21A" w14:textId="77777777" w:rsidR="00F63659" w:rsidRDefault="00F63659" w:rsidP="00F63659">
      <w:pPr>
        <w:widowControl w:val="0"/>
        <w:autoSpaceDE w:val="0"/>
        <w:adjustRightInd w:val="0"/>
        <w:spacing w:before="288" w:after="0" w:line="240" w:lineRule="auto"/>
        <w:jc w:val="both"/>
        <w:rPr>
          <w:rFonts w:cs="Calibri"/>
          <w:i/>
          <w:iCs/>
          <w:kern w:val="2"/>
          <w:sz w:val="18"/>
          <w:szCs w:val="18"/>
        </w:rPr>
      </w:pPr>
      <w:r>
        <w:rPr>
          <w:rFonts w:cs="Calibri"/>
          <w:i/>
          <w:iCs/>
          <w:kern w:val="2"/>
          <w:sz w:val="18"/>
          <w:szCs w:val="18"/>
        </w:rPr>
        <w:t xml:space="preserve">Key Audit Matters </w:t>
      </w:r>
    </w:p>
    <w:p w14:paraId="1F64C8F4"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Going concern was considered to be the only key audit matter. Our work in this area is included within ‘Conclusions relating to going concern’ above.</w:t>
      </w:r>
    </w:p>
    <w:p w14:paraId="787DF362"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Our audit procedures in relation to these matters were designed in the context of our audit opinion as a whole. They were not designed to enable us to express an opinion on these matters individually and we express no such opinion.</w:t>
      </w:r>
    </w:p>
    <w:p w14:paraId="12EEE007"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Other information</w:t>
      </w:r>
    </w:p>
    <w:p w14:paraId="711535E5"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 xml:space="preserve">The other information comprises the information included in the annual report other than the financial statements and our auditor’s report thereon. The directors are responsible for the other information contained within the annual report. </w:t>
      </w:r>
    </w:p>
    <w:p w14:paraId="55C18BB9"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 xml:space="preserve">Our opinion on the financial statements does not cover the other information and, except to the extent otherwise explicitly stated </w:t>
      </w:r>
      <w:r>
        <w:rPr>
          <w:rFonts w:cs="Calibri"/>
          <w:kern w:val="2"/>
          <w:sz w:val="18"/>
          <w:szCs w:val="18"/>
        </w:rPr>
        <w:lastRenderedPageBreak/>
        <w:t>in our report,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w:t>
      </w:r>
    </w:p>
    <w:p w14:paraId="7D1A2A05"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We have nothing to report in this regard.</w:t>
      </w:r>
    </w:p>
    <w:p w14:paraId="6FCAFEA5"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Opinions on other matters prescribed by the Companies Act 2006</w:t>
      </w:r>
    </w:p>
    <w:p w14:paraId="5997F175" w14:textId="77777777" w:rsidR="00F63659" w:rsidRDefault="00F63659" w:rsidP="00F63659">
      <w:pPr>
        <w:widowControl w:val="0"/>
        <w:autoSpaceDE w:val="0"/>
        <w:adjustRightInd w:val="0"/>
        <w:spacing w:before="288" w:after="0" w:line="240" w:lineRule="auto"/>
        <w:jc w:val="both"/>
        <w:rPr>
          <w:rFonts w:cs="Calibri"/>
          <w:kern w:val="2"/>
          <w:sz w:val="18"/>
          <w:szCs w:val="18"/>
          <w:lang w:val="en-US"/>
        </w:rPr>
      </w:pPr>
      <w:r>
        <w:rPr>
          <w:rFonts w:cs="Calibri"/>
          <w:kern w:val="2"/>
          <w:sz w:val="18"/>
          <w:szCs w:val="18"/>
          <w:lang w:val="en-US"/>
        </w:rPr>
        <w:t>In our opinion the part of the directors’ remuneration report to be audited has been properly prepared in accordance with the Companies Act 2006.</w:t>
      </w:r>
    </w:p>
    <w:p w14:paraId="3516F689" w14:textId="77777777" w:rsidR="00F63659" w:rsidRDefault="00F63659" w:rsidP="00F63659">
      <w:pPr>
        <w:widowControl w:val="0"/>
        <w:autoSpaceDE w:val="0"/>
        <w:adjustRightInd w:val="0"/>
        <w:spacing w:before="288" w:after="0" w:line="240" w:lineRule="auto"/>
        <w:jc w:val="both"/>
        <w:rPr>
          <w:rFonts w:cs="Calibri"/>
          <w:kern w:val="2"/>
          <w:sz w:val="18"/>
          <w:szCs w:val="18"/>
          <w:lang w:val="en-US"/>
        </w:rPr>
      </w:pPr>
      <w:r>
        <w:rPr>
          <w:rFonts w:cs="Calibri"/>
          <w:kern w:val="2"/>
          <w:sz w:val="18"/>
          <w:szCs w:val="18"/>
          <w:lang w:val="en-US"/>
        </w:rPr>
        <w:t xml:space="preserve">In our opinion based on the work undertaken in the course of our audit </w:t>
      </w:r>
    </w:p>
    <w:p w14:paraId="4CFCC83A" w14:textId="77777777" w:rsidR="00F63659" w:rsidRDefault="00F63659" w:rsidP="00F63659">
      <w:pPr>
        <w:widowControl w:val="0"/>
        <w:numPr>
          <w:ilvl w:val="0"/>
          <w:numId w:val="2"/>
        </w:numPr>
        <w:suppressAutoHyphens w:val="0"/>
        <w:autoSpaceDE w:val="0"/>
        <w:adjustRightInd w:val="0"/>
        <w:spacing w:before="288" w:after="0" w:line="240" w:lineRule="auto"/>
        <w:ind w:left="720" w:hanging="360"/>
        <w:textAlignment w:val="auto"/>
        <w:rPr>
          <w:rFonts w:cs="Calibri"/>
          <w:kern w:val="2"/>
          <w:sz w:val="18"/>
          <w:szCs w:val="18"/>
          <w:lang w:val="en-US"/>
        </w:rPr>
      </w:pPr>
      <w:r>
        <w:rPr>
          <w:rFonts w:cs="Calibri"/>
          <w:kern w:val="2"/>
          <w:sz w:val="18"/>
          <w:szCs w:val="18"/>
          <w:lang w:val="en-US"/>
        </w:rPr>
        <w:t>the information given in the strategic report and the directors' report for the financial year for which the financial statements are prepared is consistent with the financial statements; and</w:t>
      </w:r>
    </w:p>
    <w:p w14:paraId="189A2679" w14:textId="77777777" w:rsidR="00F63659" w:rsidRDefault="00F63659" w:rsidP="00F63659">
      <w:pPr>
        <w:widowControl w:val="0"/>
        <w:numPr>
          <w:ilvl w:val="0"/>
          <w:numId w:val="2"/>
        </w:numPr>
        <w:suppressAutoHyphens w:val="0"/>
        <w:autoSpaceDE w:val="0"/>
        <w:adjustRightInd w:val="0"/>
        <w:spacing w:before="288" w:after="0" w:line="240" w:lineRule="auto"/>
        <w:ind w:left="720" w:hanging="360"/>
        <w:textAlignment w:val="auto"/>
        <w:rPr>
          <w:rFonts w:cs="Calibri"/>
          <w:kern w:val="2"/>
          <w:sz w:val="18"/>
          <w:szCs w:val="18"/>
          <w:lang w:val="en-US"/>
        </w:rPr>
      </w:pPr>
      <w:r>
        <w:rPr>
          <w:rFonts w:cs="Calibri"/>
          <w:kern w:val="2"/>
          <w:sz w:val="18"/>
          <w:szCs w:val="18"/>
          <w:lang w:val="en-US"/>
        </w:rPr>
        <w:t>the strategic report and directors’ report have been prepared in accordance with applicable legal requirements.</w:t>
      </w:r>
    </w:p>
    <w:p w14:paraId="6CC2BBC8" w14:textId="77777777" w:rsidR="00F63659" w:rsidRDefault="00F63659" w:rsidP="00F63659">
      <w:pPr>
        <w:keepNext/>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Matters on which we are required to report by exception</w:t>
      </w:r>
    </w:p>
    <w:p w14:paraId="05AAE0F8"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We have nothing to report in respect of the following matters in relation to which the Companies Act 2006 requires us to report to you if, in our opinion:</w:t>
      </w:r>
    </w:p>
    <w:p w14:paraId="07854092" w14:textId="77777777" w:rsidR="00F63659" w:rsidRDefault="00F63659" w:rsidP="00F63659">
      <w:pPr>
        <w:numPr>
          <w:ilvl w:val="0"/>
          <w:numId w:val="3"/>
        </w:numPr>
        <w:suppressAutoHyphens w:val="0"/>
        <w:autoSpaceDE w:val="0"/>
        <w:adjustRightInd w:val="0"/>
        <w:spacing w:before="288" w:after="0" w:line="240" w:lineRule="auto"/>
        <w:ind w:left="360" w:hanging="360"/>
        <w:textAlignment w:val="auto"/>
        <w:rPr>
          <w:rFonts w:cs="Calibri"/>
          <w:color w:val="000000"/>
          <w:kern w:val="24"/>
          <w:sz w:val="18"/>
          <w:szCs w:val="18"/>
          <w:lang w:val="en-MY"/>
        </w:rPr>
      </w:pPr>
      <w:r>
        <w:rPr>
          <w:rFonts w:cs="Calibri"/>
          <w:color w:val="000000"/>
          <w:kern w:val="24"/>
          <w:sz w:val="18"/>
          <w:szCs w:val="18"/>
          <w:lang w:val="en-MY"/>
        </w:rPr>
        <w:t>adequate accounting records have not been kept by the company, or returns adequate for our audit have not been received from branches not visited by us; or</w:t>
      </w:r>
    </w:p>
    <w:p w14:paraId="1E0AD68A" w14:textId="77777777" w:rsidR="00F63659" w:rsidRDefault="00F63659" w:rsidP="00F63659">
      <w:pPr>
        <w:numPr>
          <w:ilvl w:val="0"/>
          <w:numId w:val="3"/>
        </w:numPr>
        <w:suppressAutoHyphens w:val="0"/>
        <w:autoSpaceDE w:val="0"/>
        <w:adjustRightInd w:val="0"/>
        <w:spacing w:before="288" w:after="0" w:line="240" w:lineRule="auto"/>
        <w:ind w:left="360" w:hanging="360"/>
        <w:textAlignment w:val="auto"/>
        <w:rPr>
          <w:rFonts w:cs="Calibri"/>
          <w:color w:val="000000"/>
          <w:kern w:val="24"/>
          <w:sz w:val="18"/>
          <w:szCs w:val="18"/>
          <w:lang w:val="en-MY"/>
        </w:rPr>
      </w:pPr>
      <w:r>
        <w:rPr>
          <w:rFonts w:cs="Calibri"/>
          <w:color w:val="000000"/>
          <w:kern w:val="24"/>
          <w:sz w:val="18"/>
          <w:szCs w:val="18"/>
          <w:lang w:val="en-MY"/>
        </w:rPr>
        <w:t>the financial statements and the part of the directors’ remuneration report to be audited are not in agreement with the accounting records and returns; or</w:t>
      </w:r>
    </w:p>
    <w:p w14:paraId="20D53A23" w14:textId="77777777" w:rsidR="00F63659" w:rsidRDefault="00F63659" w:rsidP="00F63659">
      <w:pPr>
        <w:numPr>
          <w:ilvl w:val="0"/>
          <w:numId w:val="3"/>
        </w:numPr>
        <w:suppressAutoHyphens w:val="0"/>
        <w:autoSpaceDE w:val="0"/>
        <w:adjustRightInd w:val="0"/>
        <w:spacing w:before="288" w:after="0" w:line="240" w:lineRule="auto"/>
        <w:ind w:left="360" w:hanging="360"/>
        <w:textAlignment w:val="auto"/>
        <w:rPr>
          <w:rFonts w:cs="Calibri"/>
          <w:color w:val="000000"/>
          <w:kern w:val="24"/>
          <w:sz w:val="18"/>
          <w:szCs w:val="18"/>
          <w:lang w:val="en-MY"/>
        </w:rPr>
      </w:pPr>
      <w:r>
        <w:rPr>
          <w:rFonts w:cs="Calibri"/>
          <w:color w:val="000000"/>
          <w:kern w:val="24"/>
          <w:sz w:val="18"/>
          <w:szCs w:val="18"/>
          <w:lang w:val="en-MY"/>
        </w:rPr>
        <w:t>certain disclosures of directors’ remuneration specified by law are not made; or</w:t>
      </w:r>
    </w:p>
    <w:p w14:paraId="2F240790" w14:textId="77777777" w:rsidR="00F63659" w:rsidRDefault="00F63659" w:rsidP="00F63659">
      <w:pPr>
        <w:numPr>
          <w:ilvl w:val="0"/>
          <w:numId w:val="3"/>
        </w:numPr>
        <w:suppressAutoHyphens w:val="0"/>
        <w:autoSpaceDE w:val="0"/>
        <w:adjustRightInd w:val="0"/>
        <w:spacing w:before="288" w:after="0" w:line="240" w:lineRule="auto"/>
        <w:ind w:left="360" w:hanging="360"/>
        <w:textAlignment w:val="auto"/>
        <w:rPr>
          <w:rFonts w:cs="Calibri"/>
          <w:color w:val="000000"/>
          <w:kern w:val="24"/>
          <w:sz w:val="18"/>
          <w:szCs w:val="18"/>
          <w:lang w:val="en-MY"/>
        </w:rPr>
      </w:pPr>
      <w:r>
        <w:rPr>
          <w:rFonts w:cs="Calibri"/>
          <w:color w:val="000000"/>
          <w:kern w:val="24"/>
          <w:sz w:val="18"/>
          <w:szCs w:val="18"/>
          <w:lang w:val="en-MY"/>
        </w:rPr>
        <w:t>we have not received all the information and explanations we require for our audit</w:t>
      </w:r>
    </w:p>
    <w:p w14:paraId="1442F7A8" w14:textId="77777777" w:rsidR="00F63659" w:rsidRDefault="00F63659" w:rsidP="00F63659">
      <w:pPr>
        <w:tabs>
          <w:tab w:val="left" w:pos="6890"/>
        </w:tabs>
        <w:autoSpaceDE w:val="0"/>
        <w:adjustRightInd w:val="0"/>
        <w:spacing w:before="288" w:after="0" w:line="240" w:lineRule="auto"/>
        <w:ind w:left="360"/>
        <w:rPr>
          <w:rFonts w:cs="Calibri"/>
          <w:color w:val="000000"/>
          <w:kern w:val="24"/>
          <w:sz w:val="18"/>
          <w:szCs w:val="18"/>
          <w:lang w:val="en-MY"/>
        </w:rPr>
      </w:pPr>
      <w:r>
        <w:rPr>
          <w:rFonts w:cs="Calibri"/>
          <w:color w:val="000000"/>
          <w:kern w:val="24"/>
          <w:sz w:val="18"/>
          <w:szCs w:val="18"/>
          <w:lang w:val="en-MY"/>
        </w:rPr>
        <w:tab/>
      </w:r>
    </w:p>
    <w:p w14:paraId="6823A16D"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Responsibilities of the directors for the financial statements</w:t>
      </w:r>
    </w:p>
    <w:p w14:paraId="39F4B1AF"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As explained more fully in the directors’ responsibilities statement set out on page 7 and 8, the directors are responsible for the preparation of the financial statements and for being satisfied that they give a true and fair view, and for such internal control as the directors determine is necessary to enable the preparation of financial statements that are free from material misstatement, whether due to fraud or error.</w:t>
      </w:r>
    </w:p>
    <w:p w14:paraId="7B514D4E"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w:t>
      </w:r>
    </w:p>
    <w:p w14:paraId="790F9528"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Auditor’s responsibilities for the audit of the financial statements</w:t>
      </w:r>
    </w:p>
    <w:p w14:paraId="65DA080E"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 xml:space="preserve">Our objectives are to obtain reasonable assurance about whether the financial statements as a whole are free from material misstatement, whether due to fraud or error, and to issue an auditor’s report that includes our opinion. Reasonable assurance is </w:t>
      </w:r>
      <w:r>
        <w:rPr>
          <w:rFonts w:cs="Calibri"/>
          <w:kern w:val="2"/>
          <w:sz w:val="18"/>
          <w:szCs w:val="18"/>
        </w:rPr>
        <w:lastRenderedPageBreak/>
        <w:t>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7873E9E8"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w:t>
      </w:r>
    </w:p>
    <w:p w14:paraId="11E16DE8" w14:textId="77777777" w:rsidR="00F63659" w:rsidRDefault="00F63659" w:rsidP="00F63659">
      <w:pPr>
        <w:widowControl w:val="0"/>
        <w:autoSpaceDE w:val="0"/>
        <w:adjustRightInd w:val="0"/>
        <w:spacing w:before="288" w:after="0" w:line="240" w:lineRule="auto"/>
        <w:jc w:val="both"/>
        <w:rPr>
          <w:rFonts w:cs="Calibri"/>
          <w:kern w:val="2"/>
          <w:sz w:val="18"/>
          <w:szCs w:val="18"/>
          <w:lang w:val="en-US"/>
        </w:rPr>
      </w:pPr>
      <w:r>
        <w:rPr>
          <w:rFonts w:cs="Calibri"/>
          <w:kern w:val="2"/>
          <w:sz w:val="18"/>
          <w:szCs w:val="18"/>
          <w:lang w:val="en-US"/>
        </w:rPr>
        <w:t>We obtained an understanding of the legal and regulatory frameworks within which the company operates, focusing on those laws and regulations that have a direct effect on the determination of material amounts and disclosures in the financial statements. The laws and regulation we considered in this context were the Companies Act 2006 and Listing Rules.</w:t>
      </w:r>
    </w:p>
    <w:p w14:paraId="1042243E" w14:textId="77777777" w:rsidR="00F63659" w:rsidRDefault="00F63659" w:rsidP="00F63659">
      <w:pPr>
        <w:widowControl w:val="0"/>
        <w:autoSpaceDE w:val="0"/>
        <w:adjustRightInd w:val="0"/>
        <w:spacing w:before="288" w:after="0" w:line="240" w:lineRule="auto"/>
        <w:jc w:val="both"/>
        <w:rPr>
          <w:rFonts w:cs="Calibri"/>
          <w:kern w:val="2"/>
          <w:sz w:val="18"/>
          <w:szCs w:val="18"/>
          <w:lang w:val="en-US"/>
        </w:rPr>
      </w:pPr>
      <w:r>
        <w:rPr>
          <w:rFonts w:cs="Calibri"/>
          <w:kern w:val="2"/>
          <w:sz w:val="18"/>
          <w:szCs w:val="18"/>
          <w:lang w:val="en-US"/>
        </w:rPr>
        <w:t>We identified the greatest risk of material impact on the financial statements from irregularities, including fraud, to be the override of controls and the misstatement of cash balances. Our audit procedures to respond to those risks included direct confirmation of cash balances with the company’s bankers , reviewing journal entries and ensuring accounting policies are appropriate under the relevant accounting standards and applicable law.</w:t>
      </w:r>
    </w:p>
    <w:p w14:paraId="54751286" w14:textId="77777777" w:rsidR="00F63659" w:rsidRDefault="00F63659" w:rsidP="00F63659">
      <w:pPr>
        <w:widowControl w:val="0"/>
        <w:autoSpaceDE w:val="0"/>
        <w:adjustRightInd w:val="0"/>
        <w:spacing w:before="288" w:after="0" w:line="240" w:lineRule="auto"/>
        <w:jc w:val="both"/>
        <w:rPr>
          <w:rFonts w:cs="Calibri"/>
          <w:kern w:val="2"/>
          <w:sz w:val="18"/>
          <w:szCs w:val="18"/>
          <w:lang w:val="en-US"/>
        </w:rPr>
      </w:pPr>
      <w:r>
        <w:rPr>
          <w:rFonts w:cs="Calibri"/>
          <w:kern w:val="2"/>
          <w:sz w:val="18"/>
          <w:szCs w:val="18"/>
          <w:lang w:val="en-US"/>
        </w:rPr>
        <w:t>Owing to the inherent limitations of an audit, there is an unavoidable risk that some material misstatements of the financial statements may not be detected, even though the audit is properly planned and performed in accordance with the ISAs (UK). The potential effects of inherent limitations are particularly significant in the case of misstatement resulting from fraud because fraud may involve sophisticated and carefully organized schemes designed to conceal it, including deliberate failure to record transactions, collusion or intentional misrepresentations being made to us.</w:t>
      </w:r>
    </w:p>
    <w:p w14:paraId="2A547AC5"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 xml:space="preserve">A further description of our responsibilities for the audit of the financial statements is located on the Financial Reporting Council’s website at: </w:t>
      </w:r>
      <w:hyperlink r:id="rId10" w:history="1">
        <w:r>
          <w:rPr>
            <w:rFonts w:cs="Calibri"/>
            <w:kern w:val="2"/>
            <w:sz w:val="18"/>
            <w:szCs w:val="18"/>
          </w:rPr>
          <w:t>www.frc.org.uk/auditorsresponsibilities</w:t>
        </w:r>
      </w:hyperlink>
      <w:r>
        <w:rPr>
          <w:rFonts w:cs="Calibri"/>
          <w:kern w:val="2"/>
          <w:sz w:val="18"/>
          <w:szCs w:val="18"/>
        </w:rPr>
        <w:t>. This description forms part of our auditor’s report.</w:t>
      </w:r>
    </w:p>
    <w:p w14:paraId="05F6941D"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Other matters which we are required to address</w:t>
      </w:r>
    </w:p>
    <w:p w14:paraId="5F9CC705"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We were appointed by management to audit the financial statements for the period ending 31 January 2021. Our total uninterrupted period of engagement is two years, covering the periods ending 31 January 2020 to 31 January 2021.</w:t>
      </w:r>
    </w:p>
    <w:p w14:paraId="1C8BE449"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The non-audit services prohibited by the FRC’s Ethical Standard were not provided to the company and we remain independent of the company in conducting our audit.</w:t>
      </w:r>
    </w:p>
    <w:p w14:paraId="3DC1735A"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Our audit opinion is consistent with the additional report to the audit committee.</w:t>
      </w:r>
    </w:p>
    <w:p w14:paraId="41730B54" w14:textId="77777777" w:rsidR="00F63659" w:rsidRDefault="00F63659" w:rsidP="00F63659">
      <w:pPr>
        <w:widowControl w:val="0"/>
        <w:autoSpaceDE w:val="0"/>
        <w:adjustRightInd w:val="0"/>
        <w:spacing w:before="288" w:after="0" w:line="240" w:lineRule="auto"/>
        <w:jc w:val="both"/>
        <w:rPr>
          <w:rFonts w:cs="Calibri"/>
          <w:b/>
          <w:bCs/>
          <w:kern w:val="2"/>
          <w:sz w:val="18"/>
          <w:szCs w:val="18"/>
        </w:rPr>
      </w:pPr>
      <w:r>
        <w:rPr>
          <w:rFonts w:cs="Calibri"/>
          <w:b/>
          <w:bCs/>
          <w:kern w:val="2"/>
          <w:sz w:val="18"/>
          <w:szCs w:val="18"/>
        </w:rPr>
        <w:t>Use of our report</w:t>
      </w:r>
    </w:p>
    <w:p w14:paraId="758661DD" w14:textId="77777777" w:rsidR="00F63659" w:rsidRDefault="00F63659" w:rsidP="00F63659">
      <w:pPr>
        <w:widowControl w:val="0"/>
        <w:autoSpaceDE w:val="0"/>
        <w:adjustRightInd w:val="0"/>
        <w:spacing w:before="288" w:after="0" w:line="240" w:lineRule="auto"/>
        <w:jc w:val="both"/>
        <w:rPr>
          <w:rFonts w:cs="Calibri"/>
          <w:kern w:val="2"/>
          <w:sz w:val="18"/>
          <w:szCs w:val="18"/>
        </w:rPr>
      </w:pPr>
      <w:r>
        <w:rPr>
          <w:rFonts w:cs="Calibri"/>
          <w:kern w:val="2"/>
          <w:sz w:val="18"/>
          <w:szCs w:val="18"/>
        </w:rPr>
        <w:t>This report is made solely to the company's members, as a body, in accordance with Chapter 3 of Part 16 of the Companies Act 2006.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p w14:paraId="3F655F02" w14:textId="77777777" w:rsidR="00F63659" w:rsidRDefault="00F63659" w:rsidP="00F63659">
      <w:pPr>
        <w:widowControl w:val="0"/>
        <w:autoSpaceDE w:val="0"/>
        <w:adjustRightInd w:val="0"/>
        <w:spacing w:before="288" w:after="0" w:line="240" w:lineRule="auto"/>
        <w:jc w:val="both"/>
        <w:rPr>
          <w:rFonts w:cs="Calibri"/>
          <w:color w:val="FF0000"/>
          <w:kern w:val="2"/>
          <w:sz w:val="18"/>
          <w:szCs w:val="18"/>
        </w:rPr>
      </w:pPr>
    </w:p>
    <w:p w14:paraId="2EFAB628" w14:textId="77777777" w:rsidR="00F63659" w:rsidRDefault="00F63659" w:rsidP="00F63659">
      <w:pPr>
        <w:widowControl w:val="0"/>
        <w:autoSpaceDE w:val="0"/>
        <w:adjustRightInd w:val="0"/>
        <w:spacing w:before="288" w:after="0" w:line="240" w:lineRule="auto"/>
        <w:rPr>
          <w:rFonts w:cs="Calibri"/>
          <w:sz w:val="18"/>
          <w:szCs w:val="18"/>
          <w:lang w:val="en-US"/>
        </w:rPr>
      </w:pPr>
      <w:r>
        <w:rPr>
          <w:rFonts w:cs="Calibri"/>
          <w:sz w:val="18"/>
          <w:szCs w:val="18"/>
          <w:lang w:val="en-US"/>
        </w:rPr>
        <w:t xml:space="preserve">Matthew Stallabrass </w:t>
      </w:r>
    </w:p>
    <w:p w14:paraId="632ADB9E" w14:textId="77777777" w:rsidR="00F63659" w:rsidRDefault="00F63659" w:rsidP="00F63659">
      <w:pPr>
        <w:widowControl w:val="0"/>
        <w:autoSpaceDE w:val="0"/>
        <w:adjustRightInd w:val="0"/>
        <w:spacing w:before="288" w:after="0" w:line="240" w:lineRule="auto"/>
        <w:rPr>
          <w:rFonts w:cs="Calibri"/>
          <w:sz w:val="18"/>
          <w:szCs w:val="18"/>
          <w:lang w:val="en-US"/>
        </w:rPr>
      </w:pPr>
      <w:r>
        <w:rPr>
          <w:rFonts w:cs="Calibri"/>
          <w:sz w:val="18"/>
          <w:szCs w:val="18"/>
          <w:lang w:val="en-US"/>
        </w:rPr>
        <w:t>Senior Statutory Auditor</w:t>
      </w:r>
    </w:p>
    <w:p w14:paraId="7E383A59" w14:textId="77777777" w:rsidR="00F63659" w:rsidRDefault="00F63659" w:rsidP="00F63659">
      <w:pPr>
        <w:widowControl w:val="0"/>
        <w:autoSpaceDE w:val="0"/>
        <w:adjustRightInd w:val="0"/>
        <w:spacing w:before="288" w:after="0" w:line="240" w:lineRule="auto"/>
        <w:rPr>
          <w:rFonts w:cs="Calibri"/>
          <w:sz w:val="18"/>
          <w:szCs w:val="18"/>
          <w:lang w:val="en-US"/>
        </w:rPr>
      </w:pPr>
      <w:r>
        <w:rPr>
          <w:rFonts w:cs="Calibri"/>
          <w:sz w:val="18"/>
          <w:szCs w:val="18"/>
          <w:lang w:val="en-US"/>
        </w:rPr>
        <w:t>For and on behalf of</w:t>
      </w:r>
    </w:p>
    <w:p w14:paraId="4E23757F" w14:textId="77777777" w:rsidR="00F63659" w:rsidRDefault="00F63659" w:rsidP="00F63659">
      <w:pPr>
        <w:widowControl w:val="0"/>
        <w:autoSpaceDE w:val="0"/>
        <w:adjustRightInd w:val="0"/>
        <w:spacing w:before="288" w:after="0" w:line="240" w:lineRule="auto"/>
        <w:rPr>
          <w:rFonts w:cs="Calibri"/>
          <w:color w:val="000000"/>
          <w:sz w:val="18"/>
          <w:szCs w:val="18"/>
          <w:lang w:val="en-US"/>
        </w:rPr>
      </w:pPr>
      <w:r>
        <w:rPr>
          <w:rFonts w:cs="Calibri"/>
          <w:color w:val="000000"/>
          <w:sz w:val="18"/>
          <w:szCs w:val="18"/>
          <w:lang w:val="en-US"/>
        </w:rPr>
        <w:t>Crowe U.K. LLP</w:t>
      </w:r>
    </w:p>
    <w:p w14:paraId="415F6B11" w14:textId="77777777" w:rsidR="00F63659" w:rsidRDefault="00F63659" w:rsidP="00F63659">
      <w:pPr>
        <w:widowControl w:val="0"/>
        <w:autoSpaceDE w:val="0"/>
        <w:adjustRightInd w:val="0"/>
        <w:spacing w:before="288" w:after="0" w:line="240" w:lineRule="auto"/>
        <w:rPr>
          <w:rFonts w:cs="Calibri"/>
          <w:color w:val="000000"/>
          <w:sz w:val="18"/>
          <w:szCs w:val="18"/>
          <w:lang w:val="en-US"/>
        </w:rPr>
      </w:pPr>
      <w:r>
        <w:rPr>
          <w:rFonts w:cs="Calibri"/>
          <w:color w:val="000000"/>
          <w:sz w:val="18"/>
          <w:szCs w:val="18"/>
          <w:lang w:val="en-US"/>
        </w:rPr>
        <w:lastRenderedPageBreak/>
        <w:t>Statutory Auditor</w:t>
      </w:r>
    </w:p>
    <w:p w14:paraId="049B5487" w14:textId="77777777" w:rsidR="00F63659" w:rsidRDefault="00F63659" w:rsidP="00F63659">
      <w:pPr>
        <w:widowControl w:val="0"/>
        <w:autoSpaceDE w:val="0"/>
        <w:adjustRightInd w:val="0"/>
        <w:spacing w:before="288" w:after="0" w:line="240" w:lineRule="auto"/>
        <w:rPr>
          <w:rFonts w:cs="Calibri"/>
          <w:sz w:val="18"/>
          <w:szCs w:val="18"/>
          <w:lang w:val="en-US"/>
        </w:rPr>
      </w:pPr>
      <w:r>
        <w:rPr>
          <w:rFonts w:cs="Calibri"/>
          <w:sz w:val="18"/>
          <w:szCs w:val="18"/>
          <w:lang w:val="en-US"/>
        </w:rPr>
        <w:t>London</w:t>
      </w:r>
    </w:p>
    <w:p w14:paraId="529D5062" w14:textId="77777777" w:rsidR="00F63659" w:rsidRDefault="00F63659" w:rsidP="00F63659">
      <w:pPr>
        <w:widowControl w:val="0"/>
        <w:autoSpaceDE w:val="0"/>
        <w:adjustRightInd w:val="0"/>
        <w:spacing w:before="288" w:after="0" w:line="240" w:lineRule="auto"/>
        <w:rPr>
          <w:rFonts w:cs="Calibri"/>
          <w:sz w:val="18"/>
          <w:szCs w:val="18"/>
          <w:lang w:val="en-US"/>
        </w:rPr>
      </w:pPr>
      <w:r>
        <w:rPr>
          <w:rFonts w:cs="Calibri"/>
          <w:sz w:val="18"/>
          <w:szCs w:val="18"/>
          <w:lang w:val="en-US"/>
        </w:rPr>
        <w:t>28 May 2021</w:t>
      </w:r>
    </w:p>
    <w:p w14:paraId="78218EA6" w14:textId="77777777" w:rsidR="00F63659" w:rsidRDefault="00F63659" w:rsidP="00F63659">
      <w:pPr>
        <w:widowControl w:val="0"/>
        <w:autoSpaceDE w:val="0"/>
        <w:adjustRightInd w:val="0"/>
        <w:spacing w:before="120" w:after="288" w:line="240" w:lineRule="auto"/>
        <w:jc w:val="both"/>
        <w:rPr>
          <w:rFonts w:cs="Calibri"/>
          <w:kern w:val="2"/>
          <w:sz w:val="20"/>
          <w:szCs w:val="20"/>
        </w:rPr>
      </w:pPr>
    </w:p>
    <w:p w14:paraId="49116CC7" w14:textId="2BCB23AB" w:rsidR="00F63659" w:rsidRDefault="00F63659" w:rsidP="00F63659">
      <w:pPr>
        <w:autoSpaceDE w:val="0"/>
        <w:adjustRightInd w:val="0"/>
        <w:spacing w:after="0" w:line="240" w:lineRule="auto"/>
        <w:rPr>
          <w:rFonts w:ascii="Arial" w:hAnsi="Arial" w:cs="Arial"/>
          <w:b/>
          <w:bCs/>
          <w:color w:val="000000"/>
          <w:sz w:val="18"/>
          <w:szCs w:val="18"/>
          <w:lang w:val="en-US"/>
        </w:rPr>
      </w:pPr>
    </w:p>
    <w:p w14:paraId="2B242CFE" w14:textId="25DEC5E5" w:rsidR="004B6603" w:rsidRDefault="004B6603" w:rsidP="00F63659">
      <w:pPr>
        <w:autoSpaceDE w:val="0"/>
        <w:adjustRightInd w:val="0"/>
        <w:spacing w:after="0" w:line="240" w:lineRule="auto"/>
        <w:rPr>
          <w:rFonts w:ascii="Arial" w:hAnsi="Arial" w:cs="Arial"/>
          <w:b/>
          <w:bCs/>
          <w:color w:val="000000"/>
          <w:sz w:val="18"/>
          <w:szCs w:val="18"/>
          <w:lang w:val="en-US"/>
        </w:rPr>
      </w:pPr>
    </w:p>
    <w:p w14:paraId="6E5AAFD1" w14:textId="77777777" w:rsidR="004B6603" w:rsidRDefault="004B6603" w:rsidP="00F63659">
      <w:pPr>
        <w:autoSpaceDE w:val="0"/>
        <w:adjustRightInd w:val="0"/>
        <w:spacing w:after="0" w:line="240" w:lineRule="auto"/>
        <w:rPr>
          <w:rFonts w:ascii="Arial" w:hAnsi="Arial" w:cs="Arial"/>
          <w:b/>
          <w:bCs/>
          <w:color w:val="000000"/>
          <w:sz w:val="18"/>
          <w:szCs w:val="18"/>
          <w:lang w:val="en-US"/>
        </w:rPr>
      </w:pPr>
    </w:p>
    <w:p w14:paraId="3C86E390"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t>STATEMENT OF COMPREHENSIVE INCOME</w:t>
      </w:r>
    </w:p>
    <w:p w14:paraId="1DD4D9EA"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t>for the year ended 31 January 2021</w:t>
      </w:r>
    </w:p>
    <w:p w14:paraId="09B8AE3E" w14:textId="77777777" w:rsidR="00F63659" w:rsidRDefault="00F63659" w:rsidP="00F63659">
      <w:pPr>
        <w:widowControl w:val="0"/>
        <w:autoSpaceDE w:val="0"/>
        <w:adjustRightInd w:val="0"/>
        <w:spacing w:after="0" w:line="240" w:lineRule="auto"/>
        <w:rPr>
          <w:rFonts w:ascii="Arial" w:hAnsi="Arial" w:cs="Arial"/>
          <w:b/>
          <w:bCs/>
          <w:color w:val="000000"/>
          <w:sz w:val="18"/>
          <w:szCs w:val="18"/>
          <w:lang w:val="en-US"/>
        </w:rPr>
      </w:pPr>
    </w:p>
    <w:p w14:paraId="0D0137E6" w14:textId="77777777" w:rsidR="00F63659" w:rsidRDefault="00F63659" w:rsidP="00F63659">
      <w:pPr>
        <w:widowControl w:val="0"/>
        <w:autoSpaceDE w:val="0"/>
        <w:adjustRightInd w:val="0"/>
        <w:spacing w:after="0" w:line="240" w:lineRule="auto"/>
        <w:rPr>
          <w:rFonts w:ascii="Arial" w:hAnsi="Arial" w:cs="Arial"/>
          <w:b/>
          <w:bCs/>
          <w:color w:val="000000"/>
          <w:sz w:val="18"/>
          <w:szCs w:val="18"/>
          <w:lang w:val="en-US"/>
        </w:rPr>
      </w:pPr>
    </w:p>
    <w:tbl>
      <w:tblPr>
        <w:tblW w:w="0" w:type="auto"/>
        <w:tblLayout w:type="fixed"/>
        <w:tblLook w:val="0000" w:firstRow="0" w:lastRow="0" w:firstColumn="0" w:lastColumn="0" w:noHBand="0" w:noVBand="0"/>
      </w:tblPr>
      <w:tblGrid>
        <w:gridCol w:w="316"/>
        <w:gridCol w:w="1228"/>
        <w:gridCol w:w="1145"/>
        <w:gridCol w:w="279"/>
        <w:gridCol w:w="948"/>
        <w:gridCol w:w="316"/>
        <w:gridCol w:w="948"/>
        <w:gridCol w:w="316"/>
        <w:gridCol w:w="1308"/>
        <w:gridCol w:w="437"/>
        <w:gridCol w:w="1264"/>
        <w:gridCol w:w="316"/>
      </w:tblGrid>
      <w:tr w:rsidR="00F63659" w14:paraId="67251E9F" w14:textId="77777777" w:rsidTr="00CC7A1D">
        <w:trPr>
          <w:trHeight w:val="264"/>
        </w:trPr>
        <w:tc>
          <w:tcPr>
            <w:tcW w:w="1544" w:type="dxa"/>
            <w:gridSpan w:val="2"/>
            <w:tcBorders>
              <w:top w:val="nil"/>
              <w:left w:val="nil"/>
              <w:bottom w:val="nil"/>
              <w:right w:val="nil"/>
            </w:tcBorders>
            <w:vAlign w:val="bottom"/>
          </w:tcPr>
          <w:p w14:paraId="02CA2EF3"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424" w:type="dxa"/>
            <w:gridSpan w:val="2"/>
            <w:tcBorders>
              <w:top w:val="nil"/>
              <w:left w:val="nil"/>
              <w:bottom w:val="nil"/>
              <w:right w:val="nil"/>
            </w:tcBorders>
            <w:vAlign w:val="bottom"/>
          </w:tcPr>
          <w:p w14:paraId="2177E331" w14:textId="77777777" w:rsidR="00F63659" w:rsidRDefault="00F63659" w:rsidP="00CC7A1D">
            <w:pPr>
              <w:widowControl w:val="0"/>
              <w:autoSpaceDE w:val="0"/>
              <w:adjustRightInd w:val="0"/>
              <w:spacing w:after="0" w:line="240" w:lineRule="auto"/>
              <w:jc w:val="center"/>
              <w:rPr>
                <w:rFonts w:cs="Calibri"/>
                <w:b/>
                <w:bCs/>
                <w:color w:val="000000"/>
                <w:kern w:val="2"/>
                <w:sz w:val="18"/>
                <w:szCs w:val="18"/>
              </w:rPr>
            </w:pPr>
          </w:p>
        </w:tc>
        <w:tc>
          <w:tcPr>
            <w:tcW w:w="948" w:type="dxa"/>
            <w:tcBorders>
              <w:top w:val="nil"/>
              <w:left w:val="nil"/>
              <w:bottom w:val="nil"/>
              <w:right w:val="nil"/>
            </w:tcBorders>
            <w:vAlign w:val="bottom"/>
          </w:tcPr>
          <w:p w14:paraId="0F538A26"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12E798E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48" w:type="dxa"/>
            <w:tcBorders>
              <w:top w:val="nil"/>
              <w:left w:val="nil"/>
              <w:bottom w:val="nil"/>
              <w:right w:val="nil"/>
            </w:tcBorders>
            <w:vAlign w:val="bottom"/>
          </w:tcPr>
          <w:p w14:paraId="59E1286F"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2DD920B6"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308" w:type="dxa"/>
            <w:tcBorders>
              <w:top w:val="nil"/>
              <w:left w:val="nil"/>
              <w:bottom w:val="nil"/>
              <w:right w:val="nil"/>
            </w:tcBorders>
            <w:vAlign w:val="bottom"/>
          </w:tcPr>
          <w:p w14:paraId="7DC8BFA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 xml:space="preserve">Year </w:t>
            </w:r>
          </w:p>
          <w:p w14:paraId="196D6C32"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ended</w:t>
            </w:r>
          </w:p>
          <w:p w14:paraId="15DC7DD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31 January 2021</w:t>
            </w:r>
          </w:p>
        </w:tc>
        <w:tc>
          <w:tcPr>
            <w:tcW w:w="437" w:type="dxa"/>
            <w:tcBorders>
              <w:top w:val="nil"/>
              <w:left w:val="nil"/>
              <w:bottom w:val="nil"/>
              <w:right w:val="nil"/>
            </w:tcBorders>
          </w:tcPr>
          <w:p w14:paraId="46D3E25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nil"/>
              <w:left w:val="nil"/>
              <w:bottom w:val="nil"/>
              <w:right w:val="nil"/>
            </w:tcBorders>
            <w:vAlign w:val="bottom"/>
          </w:tcPr>
          <w:p w14:paraId="499E0F06"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 xml:space="preserve">Year </w:t>
            </w:r>
          </w:p>
          <w:p w14:paraId="4FB32B9A"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ended</w:t>
            </w:r>
          </w:p>
          <w:p w14:paraId="279C854B"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31 January 2020</w:t>
            </w:r>
          </w:p>
        </w:tc>
        <w:tc>
          <w:tcPr>
            <w:tcW w:w="316" w:type="dxa"/>
            <w:tcBorders>
              <w:top w:val="nil"/>
              <w:left w:val="nil"/>
              <w:bottom w:val="nil"/>
              <w:right w:val="nil"/>
            </w:tcBorders>
            <w:vAlign w:val="bottom"/>
          </w:tcPr>
          <w:p w14:paraId="3AB259A0"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711D5153" w14:textId="77777777" w:rsidTr="00CC7A1D">
        <w:trPr>
          <w:trHeight w:val="264"/>
        </w:trPr>
        <w:tc>
          <w:tcPr>
            <w:tcW w:w="1544" w:type="dxa"/>
            <w:gridSpan w:val="2"/>
            <w:tcBorders>
              <w:top w:val="nil"/>
              <w:left w:val="nil"/>
              <w:bottom w:val="nil"/>
              <w:right w:val="nil"/>
            </w:tcBorders>
            <w:vAlign w:val="bottom"/>
          </w:tcPr>
          <w:p w14:paraId="1614AF41"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424" w:type="dxa"/>
            <w:gridSpan w:val="2"/>
            <w:tcBorders>
              <w:top w:val="nil"/>
              <w:left w:val="nil"/>
              <w:bottom w:val="nil"/>
              <w:right w:val="nil"/>
            </w:tcBorders>
            <w:vAlign w:val="bottom"/>
          </w:tcPr>
          <w:p w14:paraId="3293FCE6"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7259C47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78D2086D"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48" w:type="dxa"/>
            <w:tcBorders>
              <w:top w:val="nil"/>
              <w:left w:val="nil"/>
              <w:bottom w:val="nil"/>
              <w:right w:val="nil"/>
            </w:tcBorders>
            <w:vAlign w:val="bottom"/>
          </w:tcPr>
          <w:p w14:paraId="2C9A34A9"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32E30300"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308" w:type="dxa"/>
            <w:tcBorders>
              <w:top w:val="nil"/>
              <w:left w:val="nil"/>
              <w:bottom w:val="nil"/>
              <w:right w:val="nil"/>
            </w:tcBorders>
            <w:vAlign w:val="bottom"/>
          </w:tcPr>
          <w:p w14:paraId="49F6D50A"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w:t>
            </w:r>
          </w:p>
        </w:tc>
        <w:tc>
          <w:tcPr>
            <w:tcW w:w="437" w:type="dxa"/>
            <w:tcBorders>
              <w:top w:val="nil"/>
              <w:left w:val="nil"/>
              <w:bottom w:val="nil"/>
              <w:right w:val="nil"/>
            </w:tcBorders>
          </w:tcPr>
          <w:p w14:paraId="1D57C9C2"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nil"/>
              <w:left w:val="nil"/>
              <w:bottom w:val="nil"/>
              <w:right w:val="nil"/>
            </w:tcBorders>
            <w:vAlign w:val="bottom"/>
          </w:tcPr>
          <w:p w14:paraId="4BE3EB3F"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w:t>
            </w:r>
          </w:p>
        </w:tc>
        <w:tc>
          <w:tcPr>
            <w:tcW w:w="316" w:type="dxa"/>
            <w:tcBorders>
              <w:top w:val="nil"/>
              <w:left w:val="nil"/>
              <w:bottom w:val="nil"/>
              <w:right w:val="nil"/>
            </w:tcBorders>
            <w:vAlign w:val="bottom"/>
          </w:tcPr>
          <w:p w14:paraId="01C4AC9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74996D5D" w14:textId="77777777" w:rsidTr="00CC7A1D">
        <w:trPr>
          <w:trHeight w:val="228"/>
        </w:trPr>
        <w:tc>
          <w:tcPr>
            <w:tcW w:w="1544" w:type="dxa"/>
            <w:gridSpan w:val="2"/>
            <w:tcBorders>
              <w:top w:val="nil"/>
              <w:left w:val="nil"/>
              <w:bottom w:val="nil"/>
              <w:right w:val="nil"/>
            </w:tcBorders>
            <w:vAlign w:val="bottom"/>
          </w:tcPr>
          <w:p w14:paraId="0CC5D9C4"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p>
        </w:tc>
        <w:tc>
          <w:tcPr>
            <w:tcW w:w="1424" w:type="dxa"/>
            <w:gridSpan w:val="2"/>
            <w:tcBorders>
              <w:top w:val="nil"/>
              <w:left w:val="nil"/>
              <w:bottom w:val="nil"/>
              <w:right w:val="nil"/>
            </w:tcBorders>
            <w:vAlign w:val="bottom"/>
          </w:tcPr>
          <w:p w14:paraId="1D3FDAF2"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35BF25DE"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011C991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48" w:type="dxa"/>
            <w:tcBorders>
              <w:top w:val="nil"/>
              <w:left w:val="nil"/>
              <w:bottom w:val="nil"/>
              <w:right w:val="nil"/>
            </w:tcBorders>
            <w:vAlign w:val="bottom"/>
          </w:tcPr>
          <w:p w14:paraId="41296F8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Note</w:t>
            </w:r>
          </w:p>
        </w:tc>
        <w:tc>
          <w:tcPr>
            <w:tcW w:w="316" w:type="dxa"/>
            <w:tcBorders>
              <w:top w:val="nil"/>
              <w:left w:val="nil"/>
              <w:bottom w:val="nil"/>
              <w:right w:val="nil"/>
            </w:tcBorders>
          </w:tcPr>
          <w:p w14:paraId="6DA8710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nil"/>
              <w:left w:val="nil"/>
              <w:bottom w:val="nil"/>
              <w:right w:val="nil"/>
            </w:tcBorders>
            <w:vAlign w:val="bottom"/>
          </w:tcPr>
          <w:p w14:paraId="7204D67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437" w:type="dxa"/>
            <w:tcBorders>
              <w:top w:val="nil"/>
              <w:left w:val="nil"/>
              <w:bottom w:val="nil"/>
              <w:right w:val="nil"/>
            </w:tcBorders>
          </w:tcPr>
          <w:p w14:paraId="3EA43A4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264" w:type="dxa"/>
            <w:tcBorders>
              <w:top w:val="nil"/>
              <w:left w:val="nil"/>
              <w:bottom w:val="nil"/>
              <w:right w:val="nil"/>
            </w:tcBorders>
            <w:vAlign w:val="bottom"/>
          </w:tcPr>
          <w:p w14:paraId="3D5C34F8"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vAlign w:val="bottom"/>
          </w:tcPr>
          <w:p w14:paraId="1568E803"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4D44DC8D" w14:textId="77777777" w:rsidTr="00CC7A1D">
        <w:trPr>
          <w:trHeight w:val="264"/>
        </w:trPr>
        <w:tc>
          <w:tcPr>
            <w:tcW w:w="2689" w:type="dxa"/>
            <w:gridSpan w:val="3"/>
            <w:tcBorders>
              <w:top w:val="nil"/>
              <w:left w:val="nil"/>
              <w:bottom w:val="nil"/>
              <w:right w:val="nil"/>
            </w:tcBorders>
            <w:vAlign w:val="bottom"/>
          </w:tcPr>
          <w:p w14:paraId="3D05846B"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Revenue</w:t>
            </w:r>
          </w:p>
        </w:tc>
        <w:tc>
          <w:tcPr>
            <w:tcW w:w="279" w:type="dxa"/>
            <w:tcBorders>
              <w:top w:val="nil"/>
              <w:left w:val="nil"/>
              <w:bottom w:val="nil"/>
              <w:right w:val="nil"/>
            </w:tcBorders>
            <w:vAlign w:val="bottom"/>
          </w:tcPr>
          <w:p w14:paraId="17B5CBA0"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345168EE"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323347F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48" w:type="dxa"/>
            <w:tcBorders>
              <w:top w:val="nil"/>
              <w:left w:val="nil"/>
              <w:bottom w:val="nil"/>
              <w:right w:val="nil"/>
            </w:tcBorders>
            <w:vAlign w:val="bottom"/>
          </w:tcPr>
          <w:p w14:paraId="745C3F24"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11EF50A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nil"/>
              <w:left w:val="nil"/>
              <w:bottom w:val="nil"/>
              <w:right w:val="nil"/>
            </w:tcBorders>
            <w:vAlign w:val="bottom"/>
          </w:tcPr>
          <w:p w14:paraId="24F6B56C"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w:t>
            </w:r>
          </w:p>
        </w:tc>
        <w:tc>
          <w:tcPr>
            <w:tcW w:w="437" w:type="dxa"/>
            <w:tcBorders>
              <w:top w:val="nil"/>
              <w:left w:val="nil"/>
              <w:bottom w:val="nil"/>
              <w:right w:val="nil"/>
            </w:tcBorders>
          </w:tcPr>
          <w:p w14:paraId="279AA908"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264" w:type="dxa"/>
            <w:tcBorders>
              <w:top w:val="nil"/>
              <w:left w:val="nil"/>
              <w:bottom w:val="nil"/>
              <w:right w:val="nil"/>
            </w:tcBorders>
            <w:vAlign w:val="bottom"/>
          </w:tcPr>
          <w:p w14:paraId="7353659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w:t>
            </w:r>
          </w:p>
        </w:tc>
        <w:tc>
          <w:tcPr>
            <w:tcW w:w="316" w:type="dxa"/>
            <w:tcBorders>
              <w:top w:val="nil"/>
              <w:left w:val="nil"/>
              <w:bottom w:val="nil"/>
              <w:right w:val="nil"/>
            </w:tcBorders>
            <w:vAlign w:val="bottom"/>
          </w:tcPr>
          <w:p w14:paraId="616DD302"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3AC0C3C3" w14:textId="77777777" w:rsidTr="00CC7A1D">
        <w:trPr>
          <w:trHeight w:val="264"/>
        </w:trPr>
        <w:tc>
          <w:tcPr>
            <w:tcW w:w="2689" w:type="dxa"/>
            <w:gridSpan w:val="3"/>
            <w:tcBorders>
              <w:top w:val="nil"/>
              <w:left w:val="nil"/>
              <w:bottom w:val="nil"/>
              <w:right w:val="nil"/>
            </w:tcBorders>
            <w:vAlign w:val="bottom"/>
          </w:tcPr>
          <w:p w14:paraId="65CDEB7B"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Administrative expenses</w:t>
            </w:r>
          </w:p>
        </w:tc>
        <w:tc>
          <w:tcPr>
            <w:tcW w:w="279" w:type="dxa"/>
            <w:tcBorders>
              <w:top w:val="nil"/>
              <w:left w:val="nil"/>
              <w:bottom w:val="nil"/>
              <w:right w:val="nil"/>
            </w:tcBorders>
            <w:vAlign w:val="bottom"/>
          </w:tcPr>
          <w:p w14:paraId="27CFBADB"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67402FFC"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316" w:type="dxa"/>
            <w:tcBorders>
              <w:top w:val="nil"/>
              <w:left w:val="nil"/>
              <w:bottom w:val="nil"/>
              <w:right w:val="nil"/>
            </w:tcBorders>
          </w:tcPr>
          <w:p w14:paraId="247DBAE1"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948" w:type="dxa"/>
            <w:tcBorders>
              <w:top w:val="nil"/>
              <w:left w:val="nil"/>
              <w:bottom w:val="nil"/>
              <w:right w:val="nil"/>
            </w:tcBorders>
            <w:vAlign w:val="bottom"/>
          </w:tcPr>
          <w:p w14:paraId="06770589"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316" w:type="dxa"/>
            <w:tcBorders>
              <w:top w:val="nil"/>
              <w:left w:val="nil"/>
              <w:bottom w:val="nil"/>
              <w:right w:val="nil"/>
            </w:tcBorders>
          </w:tcPr>
          <w:p w14:paraId="1F1C0A4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nil"/>
              <w:left w:val="nil"/>
              <w:bottom w:val="single" w:sz="4" w:space="0" w:color="auto"/>
              <w:right w:val="nil"/>
            </w:tcBorders>
            <w:vAlign w:val="bottom"/>
          </w:tcPr>
          <w:p w14:paraId="11C3E1E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(207,637)</w:t>
            </w:r>
          </w:p>
        </w:tc>
        <w:tc>
          <w:tcPr>
            <w:tcW w:w="437" w:type="dxa"/>
            <w:tcBorders>
              <w:top w:val="nil"/>
              <w:left w:val="nil"/>
              <w:bottom w:val="single" w:sz="4" w:space="0" w:color="auto"/>
              <w:right w:val="nil"/>
            </w:tcBorders>
          </w:tcPr>
          <w:p w14:paraId="22BEEC2F"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264" w:type="dxa"/>
            <w:tcBorders>
              <w:top w:val="nil"/>
              <w:left w:val="nil"/>
              <w:bottom w:val="single" w:sz="4" w:space="0" w:color="auto"/>
              <w:right w:val="nil"/>
            </w:tcBorders>
            <w:vAlign w:val="bottom"/>
          </w:tcPr>
          <w:p w14:paraId="11778B90"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(39,338)</w:t>
            </w:r>
          </w:p>
        </w:tc>
        <w:tc>
          <w:tcPr>
            <w:tcW w:w="316" w:type="dxa"/>
            <w:tcBorders>
              <w:top w:val="nil"/>
              <w:left w:val="nil"/>
              <w:bottom w:val="nil"/>
              <w:right w:val="nil"/>
            </w:tcBorders>
            <w:vAlign w:val="bottom"/>
          </w:tcPr>
          <w:p w14:paraId="3231C78A"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33E91C2E" w14:textId="77777777" w:rsidTr="00CC7A1D">
        <w:trPr>
          <w:trHeight w:val="264"/>
        </w:trPr>
        <w:tc>
          <w:tcPr>
            <w:tcW w:w="2689" w:type="dxa"/>
            <w:gridSpan w:val="3"/>
            <w:tcBorders>
              <w:top w:val="nil"/>
              <w:left w:val="nil"/>
              <w:bottom w:val="nil"/>
              <w:right w:val="nil"/>
            </w:tcBorders>
            <w:vAlign w:val="bottom"/>
          </w:tcPr>
          <w:p w14:paraId="1022E663"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b/>
                <w:bCs/>
                <w:color w:val="000000"/>
                <w:kern w:val="2"/>
                <w:sz w:val="18"/>
                <w:szCs w:val="18"/>
              </w:rPr>
              <w:t>Operating profit</w:t>
            </w:r>
          </w:p>
        </w:tc>
        <w:tc>
          <w:tcPr>
            <w:tcW w:w="279" w:type="dxa"/>
            <w:tcBorders>
              <w:top w:val="nil"/>
              <w:left w:val="nil"/>
              <w:bottom w:val="nil"/>
              <w:right w:val="nil"/>
            </w:tcBorders>
            <w:vAlign w:val="bottom"/>
          </w:tcPr>
          <w:p w14:paraId="25ED0F93"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127B494E"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1EB7F31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48" w:type="dxa"/>
            <w:tcBorders>
              <w:top w:val="nil"/>
              <w:left w:val="nil"/>
              <w:bottom w:val="nil"/>
              <w:right w:val="nil"/>
            </w:tcBorders>
            <w:vAlign w:val="bottom"/>
          </w:tcPr>
          <w:p w14:paraId="11F51385"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01FA933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single" w:sz="4" w:space="0" w:color="auto"/>
              <w:left w:val="nil"/>
              <w:bottom w:val="nil"/>
              <w:right w:val="nil"/>
            </w:tcBorders>
            <w:vAlign w:val="bottom"/>
          </w:tcPr>
          <w:p w14:paraId="04EE3372"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color w:val="000000"/>
                <w:kern w:val="2"/>
                <w:sz w:val="18"/>
                <w:szCs w:val="18"/>
              </w:rPr>
              <w:t>(207,637)</w:t>
            </w:r>
          </w:p>
        </w:tc>
        <w:tc>
          <w:tcPr>
            <w:tcW w:w="437" w:type="dxa"/>
            <w:tcBorders>
              <w:top w:val="single" w:sz="4" w:space="0" w:color="auto"/>
              <w:left w:val="nil"/>
              <w:bottom w:val="nil"/>
              <w:right w:val="nil"/>
            </w:tcBorders>
          </w:tcPr>
          <w:p w14:paraId="4138521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single" w:sz="4" w:space="0" w:color="auto"/>
              <w:left w:val="nil"/>
              <w:bottom w:val="nil"/>
              <w:right w:val="nil"/>
            </w:tcBorders>
            <w:vAlign w:val="bottom"/>
          </w:tcPr>
          <w:p w14:paraId="28B122BF"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color w:val="000000"/>
                <w:kern w:val="2"/>
                <w:sz w:val="18"/>
                <w:szCs w:val="18"/>
              </w:rPr>
              <w:t>(39,338)</w:t>
            </w:r>
          </w:p>
        </w:tc>
        <w:tc>
          <w:tcPr>
            <w:tcW w:w="316" w:type="dxa"/>
            <w:tcBorders>
              <w:top w:val="nil"/>
              <w:left w:val="nil"/>
              <w:bottom w:val="nil"/>
              <w:right w:val="nil"/>
            </w:tcBorders>
            <w:vAlign w:val="bottom"/>
          </w:tcPr>
          <w:p w14:paraId="2E8EB60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2853592C" w14:textId="77777777" w:rsidTr="00CC7A1D">
        <w:trPr>
          <w:trHeight w:val="264"/>
        </w:trPr>
        <w:tc>
          <w:tcPr>
            <w:tcW w:w="2689" w:type="dxa"/>
            <w:gridSpan w:val="3"/>
            <w:tcBorders>
              <w:top w:val="nil"/>
              <w:left w:val="nil"/>
              <w:bottom w:val="nil"/>
              <w:right w:val="nil"/>
            </w:tcBorders>
            <w:vAlign w:val="bottom"/>
          </w:tcPr>
          <w:p w14:paraId="10EAE60F"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Finance income</w:t>
            </w:r>
          </w:p>
        </w:tc>
        <w:tc>
          <w:tcPr>
            <w:tcW w:w="279" w:type="dxa"/>
            <w:tcBorders>
              <w:top w:val="nil"/>
              <w:left w:val="nil"/>
              <w:bottom w:val="nil"/>
              <w:right w:val="nil"/>
            </w:tcBorders>
            <w:vAlign w:val="bottom"/>
          </w:tcPr>
          <w:p w14:paraId="1E887CA8"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7522FD23"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vAlign w:val="bottom"/>
          </w:tcPr>
          <w:p w14:paraId="5A562C30"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48" w:type="dxa"/>
            <w:tcBorders>
              <w:top w:val="nil"/>
              <w:left w:val="nil"/>
              <w:bottom w:val="nil"/>
              <w:right w:val="nil"/>
            </w:tcBorders>
            <w:vAlign w:val="bottom"/>
          </w:tcPr>
          <w:p w14:paraId="36EA0CAC"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vAlign w:val="bottom"/>
          </w:tcPr>
          <w:p w14:paraId="4BF4F727"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nil"/>
              <w:left w:val="nil"/>
              <w:bottom w:val="nil"/>
              <w:right w:val="nil"/>
            </w:tcBorders>
            <w:vAlign w:val="bottom"/>
          </w:tcPr>
          <w:p w14:paraId="0FBA76C0"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r>
              <w:rPr>
                <w:rFonts w:cs="Calibri"/>
                <w:color w:val="000000"/>
                <w:kern w:val="2"/>
                <w:sz w:val="18"/>
                <w:szCs w:val="18"/>
              </w:rPr>
              <w:t xml:space="preserve">                   25</w:t>
            </w:r>
          </w:p>
        </w:tc>
        <w:tc>
          <w:tcPr>
            <w:tcW w:w="437" w:type="dxa"/>
            <w:tcBorders>
              <w:top w:val="nil"/>
              <w:left w:val="nil"/>
              <w:bottom w:val="nil"/>
              <w:right w:val="nil"/>
            </w:tcBorders>
          </w:tcPr>
          <w:p w14:paraId="7F6A669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264" w:type="dxa"/>
            <w:tcBorders>
              <w:top w:val="nil"/>
              <w:left w:val="nil"/>
              <w:bottom w:val="nil"/>
              <w:right w:val="nil"/>
            </w:tcBorders>
            <w:vAlign w:val="bottom"/>
          </w:tcPr>
          <w:p w14:paraId="2FEE633B"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r>
              <w:rPr>
                <w:rFonts w:cs="Calibri"/>
                <w:color w:val="000000"/>
                <w:kern w:val="2"/>
                <w:sz w:val="18"/>
                <w:szCs w:val="18"/>
              </w:rPr>
              <w:t xml:space="preserve">                     -</w:t>
            </w:r>
          </w:p>
        </w:tc>
        <w:tc>
          <w:tcPr>
            <w:tcW w:w="316" w:type="dxa"/>
            <w:tcBorders>
              <w:top w:val="nil"/>
              <w:left w:val="nil"/>
              <w:bottom w:val="nil"/>
              <w:right w:val="nil"/>
            </w:tcBorders>
            <w:vAlign w:val="bottom"/>
          </w:tcPr>
          <w:p w14:paraId="6761A712"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5A06661F" w14:textId="77777777" w:rsidTr="00CC7A1D">
        <w:trPr>
          <w:trHeight w:val="264"/>
        </w:trPr>
        <w:tc>
          <w:tcPr>
            <w:tcW w:w="2689" w:type="dxa"/>
            <w:gridSpan w:val="3"/>
            <w:tcBorders>
              <w:top w:val="nil"/>
              <w:left w:val="nil"/>
              <w:bottom w:val="nil"/>
              <w:right w:val="nil"/>
            </w:tcBorders>
            <w:vAlign w:val="bottom"/>
          </w:tcPr>
          <w:p w14:paraId="2090BB96"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Finance costs</w:t>
            </w:r>
          </w:p>
        </w:tc>
        <w:tc>
          <w:tcPr>
            <w:tcW w:w="279" w:type="dxa"/>
            <w:tcBorders>
              <w:top w:val="nil"/>
              <w:left w:val="nil"/>
              <w:bottom w:val="nil"/>
              <w:right w:val="nil"/>
            </w:tcBorders>
            <w:vAlign w:val="bottom"/>
          </w:tcPr>
          <w:p w14:paraId="6B7931B9" w14:textId="77777777" w:rsidR="00F63659" w:rsidRDefault="00F63659" w:rsidP="00CC7A1D">
            <w:pPr>
              <w:widowControl w:val="0"/>
              <w:autoSpaceDE w:val="0"/>
              <w:adjustRightInd w:val="0"/>
              <w:spacing w:after="0" w:line="240" w:lineRule="auto"/>
              <w:jc w:val="center"/>
              <w:rPr>
                <w:rFonts w:cs="Calibri"/>
                <w:b/>
                <w:bCs/>
                <w:color w:val="000000"/>
                <w:kern w:val="2"/>
                <w:sz w:val="18"/>
                <w:szCs w:val="18"/>
              </w:rPr>
            </w:pPr>
          </w:p>
        </w:tc>
        <w:tc>
          <w:tcPr>
            <w:tcW w:w="948" w:type="dxa"/>
            <w:tcBorders>
              <w:top w:val="nil"/>
              <w:left w:val="nil"/>
              <w:bottom w:val="nil"/>
              <w:right w:val="nil"/>
            </w:tcBorders>
            <w:vAlign w:val="bottom"/>
          </w:tcPr>
          <w:p w14:paraId="237563F2"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6987F76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48" w:type="dxa"/>
            <w:tcBorders>
              <w:top w:val="nil"/>
              <w:left w:val="nil"/>
              <w:bottom w:val="nil"/>
              <w:right w:val="nil"/>
            </w:tcBorders>
            <w:vAlign w:val="bottom"/>
          </w:tcPr>
          <w:p w14:paraId="202A347C"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0E2C304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nil"/>
              <w:left w:val="nil"/>
              <w:bottom w:val="nil"/>
              <w:right w:val="nil"/>
            </w:tcBorders>
            <w:vAlign w:val="bottom"/>
          </w:tcPr>
          <w:p w14:paraId="50449BE2" w14:textId="77777777" w:rsidR="00F63659" w:rsidRDefault="00F63659" w:rsidP="00CC7A1D">
            <w:pPr>
              <w:widowControl w:val="0"/>
              <w:autoSpaceDE w:val="0"/>
              <w:adjustRightInd w:val="0"/>
              <w:spacing w:after="0" w:line="240" w:lineRule="auto"/>
              <w:jc w:val="center"/>
              <w:rPr>
                <w:rFonts w:cs="Calibri"/>
                <w:b/>
                <w:bCs/>
                <w:color w:val="000000"/>
                <w:kern w:val="2"/>
                <w:sz w:val="18"/>
                <w:szCs w:val="18"/>
              </w:rPr>
            </w:pPr>
            <w:r>
              <w:rPr>
                <w:rFonts w:cs="Calibri"/>
                <w:b/>
                <w:bCs/>
                <w:color w:val="000000"/>
                <w:kern w:val="2"/>
                <w:sz w:val="18"/>
                <w:szCs w:val="18"/>
              </w:rPr>
              <w:t xml:space="preserve">                   -</w:t>
            </w:r>
          </w:p>
        </w:tc>
        <w:tc>
          <w:tcPr>
            <w:tcW w:w="437" w:type="dxa"/>
            <w:tcBorders>
              <w:top w:val="nil"/>
              <w:left w:val="nil"/>
              <w:bottom w:val="nil"/>
              <w:right w:val="nil"/>
            </w:tcBorders>
          </w:tcPr>
          <w:p w14:paraId="731D1E9D"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nil"/>
              <w:left w:val="nil"/>
              <w:bottom w:val="single" w:sz="4" w:space="0" w:color="auto"/>
              <w:right w:val="nil"/>
            </w:tcBorders>
            <w:vAlign w:val="bottom"/>
          </w:tcPr>
          <w:p w14:paraId="3F2C745B" w14:textId="77777777" w:rsidR="00F63659" w:rsidRDefault="00F63659" w:rsidP="00CC7A1D">
            <w:pPr>
              <w:widowControl w:val="0"/>
              <w:autoSpaceDE w:val="0"/>
              <w:adjustRightInd w:val="0"/>
              <w:spacing w:after="0" w:line="240" w:lineRule="auto"/>
              <w:jc w:val="center"/>
              <w:rPr>
                <w:rFonts w:cs="Calibri"/>
                <w:b/>
                <w:bCs/>
                <w:color w:val="000000"/>
                <w:kern w:val="2"/>
                <w:sz w:val="18"/>
                <w:szCs w:val="18"/>
              </w:rPr>
            </w:pPr>
            <w:r>
              <w:rPr>
                <w:rFonts w:cs="Calibri"/>
                <w:b/>
                <w:bCs/>
                <w:color w:val="000000"/>
                <w:kern w:val="2"/>
                <w:sz w:val="18"/>
                <w:szCs w:val="18"/>
              </w:rPr>
              <w:t xml:space="preserve">                     -</w:t>
            </w:r>
          </w:p>
        </w:tc>
        <w:tc>
          <w:tcPr>
            <w:tcW w:w="316" w:type="dxa"/>
            <w:tcBorders>
              <w:top w:val="nil"/>
              <w:left w:val="nil"/>
              <w:bottom w:val="nil"/>
              <w:right w:val="nil"/>
            </w:tcBorders>
            <w:vAlign w:val="bottom"/>
          </w:tcPr>
          <w:p w14:paraId="2778A2B3"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4A23DBCA" w14:textId="77777777" w:rsidTr="00CC7A1D">
        <w:trPr>
          <w:trHeight w:val="264"/>
        </w:trPr>
        <w:tc>
          <w:tcPr>
            <w:tcW w:w="2689" w:type="dxa"/>
            <w:gridSpan w:val="3"/>
            <w:tcBorders>
              <w:top w:val="nil"/>
              <w:left w:val="nil"/>
              <w:bottom w:val="nil"/>
              <w:right w:val="nil"/>
            </w:tcBorders>
            <w:vAlign w:val="bottom"/>
          </w:tcPr>
          <w:p w14:paraId="42889CD6"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b/>
                <w:bCs/>
                <w:color w:val="000000"/>
                <w:kern w:val="2"/>
                <w:sz w:val="18"/>
                <w:szCs w:val="18"/>
              </w:rPr>
              <w:t>Loss before taxation</w:t>
            </w:r>
          </w:p>
        </w:tc>
        <w:tc>
          <w:tcPr>
            <w:tcW w:w="279" w:type="dxa"/>
            <w:tcBorders>
              <w:top w:val="nil"/>
              <w:left w:val="nil"/>
              <w:bottom w:val="nil"/>
              <w:right w:val="nil"/>
            </w:tcBorders>
            <w:vAlign w:val="bottom"/>
          </w:tcPr>
          <w:p w14:paraId="0DF594F6"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21606554"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0A1C17B1"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48" w:type="dxa"/>
            <w:tcBorders>
              <w:top w:val="nil"/>
              <w:left w:val="nil"/>
              <w:bottom w:val="nil"/>
              <w:right w:val="nil"/>
            </w:tcBorders>
            <w:vAlign w:val="bottom"/>
          </w:tcPr>
          <w:p w14:paraId="72C5A26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22F4906E"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single" w:sz="4" w:space="0" w:color="auto"/>
              <w:left w:val="nil"/>
              <w:bottom w:val="nil"/>
              <w:right w:val="nil"/>
            </w:tcBorders>
            <w:vAlign w:val="bottom"/>
          </w:tcPr>
          <w:p w14:paraId="1B55903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 xml:space="preserve">                  (207,612)</w:t>
            </w:r>
          </w:p>
        </w:tc>
        <w:tc>
          <w:tcPr>
            <w:tcW w:w="437" w:type="dxa"/>
            <w:tcBorders>
              <w:top w:val="nil"/>
              <w:left w:val="nil"/>
              <w:bottom w:val="nil"/>
              <w:right w:val="nil"/>
            </w:tcBorders>
          </w:tcPr>
          <w:p w14:paraId="3C8AA064"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264" w:type="dxa"/>
            <w:tcBorders>
              <w:top w:val="single" w:sz="4" w:space="0" w:color="auto"/>
              <w:left w:val="nil"/>
              <w:bottom w:val="nil"/>
              <w:right w:val="nil"/>
            </w:tcBorders>
            <w:vAlign w:val="bottom"/>
          </w:tcPr>
          <w:p w14:paraId="2D37F352"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(39,338)</w:t>
            </w:r>
          </w:p>
        </w:tc>
        <w:tc>
          <w:tcPr>
            <w:tcW w:w="316" w:type="dxa"/>
            <w:tcBorders>
              <w:top w:val="nil"/>
              <w:left w:val="nil"/>
              <w:bottom w:val="nil"/>
              <w:right w:val="nil"/>
            </w:tcBorders>
            <w:vAlign w:val="bottom"/>
          </w:tcPr>
          <w:p w14:paraId="567E663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760F9CC7" w14:textId="77777777" w:rsidTr="00CC7A1D">
        <w:trPr>
          <w:gridAfter w:val="11"/>
          <w:wAfter w:w="8505" w:type="dxa"/>
          <w:trHeight w:val="264"/>
        </w:trPr>
        <w:tc>
          <w:tcPr>
            <w:tcW w:w="316" w:type="dxa"/>
            <w:tcBorders>
              <w:top w:val="nil"/>
              <w:left w:val="nil"/>
              <w:bottom w:val="nil"/>
              <w:right w:val="nil"/>
            </w:tcBorders>
            <w:vAlign w:val="bottom"/>
          </w:tcPr>
          <w:p w14:paraId="5CB3BABC" w14:textId="77777777" w:rsidR="00F63659" w:rsidRDefault="00F63659" w:rsidP="00CC7A1D">
            <w:pPr>
              <w:widowControl w:val="0"/>
              <w:autoSpaceDE w:val="0"/>
              <w:adjustRightInd w:val="0"/>
              <w:spacing w:after="0" w:line="240" w:lineRule="auto"/>
              <w:jc w:val="both"/>
              <w:rPr>
                <w:rFonts w:cs="Calibri"/>
                <w:color w:val="000000"/>
                <w:kern w:val="2"/>
                <w:sz w:val="18"/>
                <w:szCs w:val="18"/>
              </w:rPr>
            </w:pPr>
          </w:p>
        </w:tc>
      </w:tr>
      <w:tr w:rsidR="00F63659" w14:paraId="168FEC80" w14:textId="77777777" w:rsidTr="00CC7A1D">
        <w:trPr>
          <w:trHeight w:val="264"/>
        </w:trPr>
        <w:tc>
          <w:tcPr>
            <w:tcW w:w="2689" w:type="dxa"/>
            <w:gridSpan w:val="3"/>
            <w:tcBorders>
              <w:top w:val="nil"/>
              <w:left w:val="nil"/>
              <w:bottom w:val="nil"/>
              <w:right w:val="nil"/>
            </w:tcBorders>
            <w:vAlign w:val="bottom"/>
          </w:tcPr>
          <w:p w14:paraId="4FFE805E"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p>
        </w:tc>
        <w:tc>
          <w:tcPr>
            <w:tcW w:w="279" w:type="dxa"/>
            <w:tcBorders>
              <w:top w:val="nil"/>
              <w:left w:val="nil"/>
              <w:bottom w:val="nil"/>
              <w:right w:val="nil"/>
            </w:tcBorders>
            <w:vAlign w:val="bottom"/>
          </w:tcPr>
          <w:p w14:paraId="718F7C93"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28AAF8D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4219C14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48" w:type="dxa"/>
            <w:tcBorders>
              <w:top w:val="nil"/>
              <w:left w:val="nil"/>
              <w:bottom w:val="nil"/>
              <w:right w:val="nil"/>
            </w:tcBorders>
            <w:vAlign w:val="bottom"/>
          </w:tcPr>
          <w:p w14:paraId="71197558"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78B7B10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single" w:sz="4" w:space="0" w:color="auto"/>
              <w:left w:val="nil"/>
              <w:bottom w:val="nil"/>
              <w:right w:val="nil"/>
            </w:tcBorders>
            <w:vAlign w:val="bottom"/>
          </w:tcPr>
          <w:p w14:paraId="3A0EF6FE"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437" w:type="dxa"/>
            <w:tcBorders>
              <w:top w:val="nil"/>
              <w:left w:val="nil"/>
              <w:bottom w:val="nil"/>
              <w:right w:val="nil"/>
            </w:tcBorders>
          </w:tcPr>
          <w:p w14:paraId="6B26309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264" w:type="dxa"/>
            <w:tcBorders>
              <w:top w:val="single" w:sz="4" w:space="0" w:color="auto"/>
              <w:left w:val="nil"/>
              <w:bottom w:val="nil"/>
              <w:right w:val="nil"/>
            </w:tcBorders>
            <w:vAlign w:val="bottom"/>
          </w:tcPr>
          <w:p w14:paraId="3322BAD1"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316" w:type="dxa"/>
            <w:tcBorders>
              <w:top w:val="nil"/>
              <w:left w:val="nil"/>
              <w:bottom w:val="nil"/>
              <w:right w:val="nil"/>
            </w:tcBorders>
            <w:vAlign w:val="bottom"/>
          </w:tcPr>
          <w:p w14:paraId="5665B2F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0227BFD1" w14:textId="77777777" w:rsidTr="00CC7A1D">
        <w:trPr>
          <w:trHeight w:val="264"/>
        </w:trPr>
        <w:tc>
          <w:tcPr>
            <w:tcW w:w="2689" w:type="dxa"/>
            <w:gridSpan w:val="3"/>
            <w:tcBorders>
              <w:top w:val="nil"/>
              <w:left w:val="nil"/>
              <w:bottom w:val="nil"/>
              <w:right w:val="nil"/>
            </w:tcBorders>
            <w:vAlign w:val="bottom"/>
          </w:tcPr>
          <w:p w14:paraId="2A70AF83"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Income tax</w:t>
            </w:r>
          </w:p>
        </w:tc>
        <w:tc>
          <w:tcPr>
            <w:tcW w:w="279" w:type="dxa"/>
            <w:tcBorders>
              <w:top w:val="nil"/>
              <w:left w:val="nil"/>
              <w:bottom w:val="nil"/>
              <w:right w:val="nil"/>
            </w:tcBorders>
            <w:vAlign w:val="bottom"/>
          </w:tcPr>
          <w:p w14:paraId="4009F33B"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58C4F294"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316" w:type="dxa"/>
            <w:tcBorders>
              <w:top w:val="nil"/>
              <w:left w:val="nil"/>
              <w:bottom w:val="nil"/>
              <w:right w:val="nil"/>
            </w:tcBorders>
          </w:tcPr>
          <w:p w14:paraId="169AF0EF"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48" w:type="dxa"/>
            <w:tcBorders>
              <w:top w:val="nil"/>
              <w:left w:val="nil"/>
              <w:bottom w:val="nil"/>
              <w:right w:val="nil"/>
            </w:tcBorders>
            <w:vAlign w:val="bottom"/>
          </w:tcPr>
          <w:p w14:paraId="5119BA25"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4</w:t>
            </w:r>
          </w:p>
        </w:tc>
        <w:tc>
          <w:tcPr>
            <w:tcW w:w="316" w:type="dxa"/>
            <w:tcBorders>
              <w:top w:val="nil"/>
              <w:left w:val="nil"/>
              <w:bottom w:val="nil"/>
              <w:right w:val="nil"/>
            </w:tcBorders>
          </w:tcPr>
          <w:p w14:paraId="6306F58E"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308" w:type="dxa"/>
            <w:tcBorders>
              <w:top w:val="nil"/>
              <w:left w:val="nil"/>
              <w:bottom w:val="single" w:sz="4" w:space="0" w:color="auto"/>
              <w:right w:val="nil"/>
            </w:tcBorders>
            <w:vAlign w:val="bottom"/>
          </w:tcPr>
          <w:p w14:paraId="1D0739CE"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r>
              <w:rPr>
                <w:rFonts w:cs="Calibri"/>
                <w:color w:val="000000"/>
                <w:kern w:val="2"/>
                <w:sz w:val="18"/>
                <w:szCs w:val="18"/>
              </w:rPr>
              <w:t xml:space="preserve">                   -</w:t>
            </w:r>
          </w:p>
        </w:tc>
        <w:tc>
          <w:tcPr>
            <w:tcW w:w="437" w:type="dxa"/>
            <w:tcBorders>
              <w:top w:val="nil"/>
              <w:left w:val="nil"/>
              <w:bottom w:val="nil"/>
              <w:right w:val="nil"/>
            </w:tcBorders>
          </w:tcPr>
          <w:p w14:paraId="394158EC"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264" w:type="dxa"/>
            <w:tcBorders>
              <w:top w:val="nil"/>
              <w:left w:val="nil"/>
              <w:bottom w:val="single" w:sz="4" w:space="0" w:color="auto"/>
              <w:right w:val="nil"/>
            </w:tcBorders>
            <w:vAlign w:val="bottom"/>
          </w:tcPr>
          <w:p w14:paraId="1AFD1B58"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r>
              <w:rPr>
                <w:rFonts w:cs="Calibri"/>
                <w:color w:val="000000"/>
                <w:kern w:val="2"/>
                <w:sz w:val="18"/>
                <w:szCs w:val="18"/>
              </w:rPr>
              <w:t xml:space="preserve">                     -</w:t>
            </w:r>
          </w:p>
        </w:tc>
        <w:tc>
          <w:tcPr>
            <w:tcW w:w="316" w:type="dxa"/>
            <w:tcBorders>
              <w:top w:val="nil"/>
              <w:left w:val="nil"/>
              <w:bottom w:val="nil"/>
              <w:right w:val="nil"/>
            </w:tcBorders>
            <w:vAlign w:val="bottom"/>
          </w:tcPr>
          <w:p w14:paraId="7B0ECEF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591D11C2" w14:textId="77777777" w:rsidTr="00CC7A1D">
        <w:trPr>
          <w:trHeight w:val="423"/>
        </w:trPr>
        <w:tc>
          <w:tcPr>
            <w:tcW w:w="2689" w:type="dxa"/>
            <w:gridSpan w:val="3"/>
            <w:tcBorders>
              <w:top w:val="nil"/>
              <w:left w:val="nil"/>
              <w:bottom w:val="nil"/>
              <w:right w:val="nil"/>
            </w:tcBorders>
            <w:vAlign w:val="bottom"/>
          </w:tcPr>
          <w:p w14:paraId="49F66ACD"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p>
          <w:p w14:paraId="0D6C04F5"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r>
              <w:rPr>
                <w:rFonts w:cs="Calibri"/>
                <w:b/>
                <w:bCs/>
                <w:color w:val="000000"/>
                <w:kern w:val="2"/>
                <w:sz w:val="18"/>
                <w:szCs w:val="18"/>
              </w:rPr>
              <w:t>Total comprehensive loss</w:t>
            </w:r>
          </w:p>
          <w:p w14:paraId="0406E441"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r>
              <w:rPr>
                <w:rFonts w:cs="Calibri"/>
                <w:b/>
                <w:bCs/>
                <w:color w:val="000000"/>
                <w:kern w:val="2"/>
                <w:sz w:val="18"/>
                <w:szCs w:val="18"/>
              </w:rPr>
              <w:t xml:space="preserve">for the year </w:t>
            </w:r>
          </w:p>
        </w:tc>
        <w:tc>
          <w:tcPr>
            <w:tcW w:w="279" w:type="dxa"/>
            <w:tcBorders>
              <w:top w:val="nil"/>
              <w:left w:val="nil"/>
              <w:bottom w:val="nil"/>
              <w:right w:val="nil"/>
            </w:tcBorders>
            <w:vAlign w:val="bottom"/>
          </w:tcPr>
          <w:p w14:paraId="176F3C66"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216CE408"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6974CB9D"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48" w:type="dxa"/>
            <w:tcBorders>
              <w:top w:val="nil"/>
              <w:left w:val="nil"/>
              <w:bottom w:val="nil"/>
              <w:right w:val="nil"/>
            </w:tcBorders>
            <w:vAlign w:val="bottom"/>
          </w:tcPr>
          <w:p w14:paraId="40B4358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5C7660AC"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308" w:type="dxa"/>
            <w:tcBorders>
              <w:top w:val="single" w:sz="4" w:space="0" w:color="auto"/>
              <w:left w:val="nil"/>
              <w:bottom w:val="single" w:sz="4" w:space="0" w:color="auto"/>
              <w:right w:val="nil"/>
            </w:tcBorders>
            <w:vAlign w:val="bottom"/>
          </w:tcPr>
          <w:p w14:paraId="44677E2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(207,612)</w:t>
            </w:r>
          </w:p>
        </w:tc>
        <w:tc>
          <w:tcPr>
            <w:tcW w:w="437" w:type="dxa"/>
            <w:tcBorders>
              <w:top w:val="nil"/>
              <w:left w:val="nil"/>
              <w:bottom w:val="nil"/>
              <w:right w:val="nil"/>
            </w:tcBorders>
          </w:tcPr>
          <w:p w14:paraId="515F6593"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single" w:sz="4" w:space="0" w:color="auto"/>
              <w:left w:val="nil"/>
              <w:bottom w:val="single" w:sz="4" w:space="0" w:color="auto"/>
              <w:right w:val="nil"/>
            </w:tcBorders>
            <w:vAlign w:val="bottom"/>
          </w:tcPr>
          <w:p w14:paraId="53C89636"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(39,338)</w:t>
            </w:r>
          </w:p>
        </w:tc>
        <w:tc>
          <w:tcPr>
            <w:tcW w:w="316" w:type="dxa"/>
            <w:tcBorders>
              <w:top w:val="nil"/>
              <w:left w:val="nil"/>
              <w:bottom w:val="nil"/>
              <w:right w:val="nil"/>
            </w:tcBorders>
            <w:vAlign w:val="bottom"/>
          </w:tcPr>
          <w:p w14:paraId="51377F5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65B4CEBC" w14:textId="77777777" w:rsidTr="00CC7A1D">
        <w:trPr>
          <w:trHeight w:val="423"/>
        </w:trPr>
        <w:tc>
          <w:tcPr>
            <w:tcW w:w="2689" w:type="dxa"/>
            <w:gridSpan w:val="3"/>
            <w:tcBorders>
              <w:top w:val="nil"/>
              <w:left w:val="nil"/>
              <w:bottom w:val="nil"/>
              <w:right w:val="nil"/>
            </w:tcBorders>
            <w:vAlign w:val="bottom"/>
          </w:tcPr>
          <w:p w14:paraId="4B3F218F"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p>
        </w:tc>
        <w:tc>
          <w:tcPr>
            <w:tcW w:w="279" w:type="dxa"/>
            <w:tcBorders>
              <w:top w:val="nil"/>
              <w:left w:val="nil"/>
              <w:bottom w:val="nil"/>
              <w:right w:val="nil"/>
            </w:tcBorders>
            <w:vAlign w:val="bottom"/>
          </w:tcPr>
          <w:p w14:paraId="4FF73BDF"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5AC0BA7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2EBD787D"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48" w:type="dxa"/>
            <w:tcBorders>
              <w:top w:val="nil"/>
              <w:left w:val="nil"/>
              <w:bottom w:val="nil"/>
              <w:right w:val="nil"/>
            </w:tcBorders>
            <w:vAlign w:val="bottom"/>
          </w:tcPr>
          <w:p w14:paraId="35C41B6B"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3F5CA0B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308" w:type="dxa"/>
            <w:tcBorders>
              <w:top w:val="single" w:sz="4" w:space="0" w:color="auto"/>
              <w:left w:val="nil"/>
              <w:bottom w:val="nil"/>
              <w:right w:val="nil"/>
            </w:tcBorders>
            <w:vAlign w:val="bottom"/>
          </w:tcPr>
          <w:p w14:paraId="5F8DE225"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437" w:type="dxa"/>
            <w:tcBorders>
              <w:top w:val="nil"/>
              <w:left w:val="nil"/>
              <w:bottom w:val="nil"/>
              <w:right w:val="nil"/>
            </w:tcBorders>
          </w:tcPr>
          <w:p w14:paraId="61298D9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single" w:sz="4" w:space="0" w:color="auto"/>
              <w:left w:val="nil"/>
              <w:bottom w:val="nil"/>
              <w:right w:val="nil"/>
            </w:tcBorders>
            <w:vAlign w:val="bottom"/>
          </w:tcPr>
          <w:p w14:paraId="1229C62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67A2A585"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77D897E3" w14:textId="77777777" w:rsidTr="00CC7A1D">
        <w:trPr>
          <w:trHeight w:val="423"/>
        </w:trPr>
        <w:tc>
          <w:tcPr>
            <w:tcW w:w="2689" w:type="dxa"/>
            <w:gridSpan w:val="3"/>
            <w:tcBorders>
              <w:top w:val="nil"/>
              <w:left w:val="nil"/>
              <w:bottom w:val="nil"/>
              <w:right w:val="nil"/>
            </w:tcBorders>
            <w:vAlign w:val="bottom"/>
          </w:tcPr>
          <w:p w14:paraId="646BDFF5"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Loss per share</w:t>
            </w:r>
          </w:p>
        </w:tc>
        <w:tc>
          <w:tcPr>
            <w:tcW w:w="279" w:type="dxa"/>
            <w:tcBorders>
              <w:top w:val="nil"/>
              <w:left w:val="nil"/>
              <w:bottom w:val="nil"/>
              <w:right w:val="nil"/>
            </w:tcBorders>
            <w:vAlign w:val="bottom"/>
          </w:tcPr>
          <w:p w14:paraId="197B95CB"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p>
        </w:tc>
        <w:tc>
          <w:tcPr>
            <w:tcW w:w="948" w:type="dxa"/>
            <w:tcBorders>
              <w:top w:val="nil"/>
              <w:left w:val="nil"/>
              <w:bottom w:val="nil"/>
              <w:right w:val="nil"/>
            </w:tcBorders>
            <w:vAlign w:val="bottom"/>
          </w:tcPr>
          <w:p w14:paraId="352E53C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4D50DAA0"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48" w:type="dxa"/>
            <w:tcBorders>
              <w:top w:val="nil"/>
              <w:left w:val="nil"/>
              <w:bottom w:val="nil"/>
              <w:right w:val="nil"/>
            </w:tcBorders>
            <w:vAlign w:val="bottom"/>
          </w:tcPr>
          <w:p w14:paraId="31E00418"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7A09C9A2"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308" w:type="dxa"/>
            <w:tcBorders>
              <w:top w:val="nil"/>
              <w:left w:val="nil"/>
              <w:bottom w:val="nil"/>
              <w:right w:val="nil"/>
            </w:tcBorders>
            <w:vAlign w:val="bottom"/>
          </w:tcPr>
          <w:p w14:paraId="64893F8A"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437" w:type="dxa"/>
            <w:tcBorders>
              <w:top w:val="nil"/>
              <w:left w:val="nil"/>
              <w:bottom w:val="nil"/>
              <w:right w:val="nil"/>
            </w:tcBorders>
          </w:tcPr>
          <w:p w14:paraId="00577C5C"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nil"/>
              <w:left w:val="nil"/>
              <w:bottom w:val="nil"/>
              <w:right w:val="nil"/>
            </w:tcBorders>
            <w:vAlign w:val="bottom"/>
          </w:tcPr>
          <w:p w14:paraId="374A8620"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vAlign w:val="bottom"/>
          </w:tcPr>
          <w:p w14:paraId="41085603"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130CFF49" w14:textId="77777777" w:rsidTr="00CC7A1D">
        <w:trPr>
          <w:trHeight w:val="423"/>
        </w:trPr>
        <w:tc>
          <w:tcPr>
            <w:tcW w:w="4232" w:type="dxa"/>
            <w:gridSpan w:val="6"/>
            <w:tcBorders>
              <w:top w:val="nil"/>
              <w:left w:val="nil"/>
              <w:bottom w:val="nil"/>
              <w:right w:val="nil"/>
            </w:tcBorders>
            <w:vAlign w:val="bottom"/>
          </w:tcPr>
          <w:p w14:paraId="4B47E7C2" w14:textId="77777777" w:rsidR="00F63659" w:rsidRDefault="00F63659" w:rsidP="00CC7A1D">
            <w:pPr>
              <w:widowControl w:val="0"/>
              <w:autoSpaceDE w:val="0"/>
              <w:adjustRightInd w:val="0"/>
              <w:spacing w:after="0" w:line="240" w:lineRule="auto"/>
              <w:rPr>
                <w:rFonts w:cs="Calibri"/>
                <w:b/>
                <w:bCs/>
                <w:color w:val="000000"/>
                <w:kern w:val="2"/>
                <w:sz w:val="18"/>
                <w:szCs w:val="18"/>
              </w:rPr>
            </w:pPr>
            <w:r>
              <w:rPr>
                <w:rFonts w:cs="Calibri"/>
                <w:b/>
                <w:bCs/>
                <w:color w:val="000000"/>
                <w:kern w:val="2"/>
                <w:sz w:val="18"/>
                <w:szCs w:val="18"/>
              </w:rPr>
              <w:t>Basic and diluted (pence per share)</w:t>
            </w:r>
          </w:p>
        </w:tc>
        <w:tc>
          <w:tcPr>
            <w:tcW w:w="948" w:type="dxa"/>
            <w:tcBorders>
              <w:top w:val="nil"/>
              <w:left w:val="nil"/>
              <w:bottom w:val="nil"/>
              <w:right w:val="nil"/>
            </w:tcBorders>
            <w:vAlign w:val="bottom"/>
          </w:tcPr>
          <w:p w14:paraId="2092E6E7"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316" w:type="dxa"/>
            <w:tcBorders>
              <w:top w:val="nil"/>
              <w:left w:val="nil"/>
              <w:bottom w:val="nil"/>
              <w:right w:val="nil"/>
            </w:tcBorders>
          </w:tcPr>
          <w:p w14:paraId="3EB0F533"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308" w:type="dxa"/>
            <w:tcBorders>
              <w:top w:val="nil"/>
              <w:left w:val="nil"/>
              <w:bottom w:val="nil"/>
              <w:right w:val="nil"/>
            </w:tcBorders>
            <w:vAlign w:val="bottom"/>
          </w:tcPr>
          <w:p w14:paraId="25BB71BB"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0.69</w:t>
            </w:r>
          </w:p>
        </w:tc>
        <w:tc>
          <w:tcPr>
            <w:tcW w:w="437" w:type="dxa"/>
            <w:tcBorders>
              <w:top w:val="nil"/>
              <w:left w:val="nil"/>
              <w:bottom w:val="nil"/>
              <w:right w:val="nil"/>
            </w:tcBorders>
          </w:tcPr>
          <w:p w14:paraId="2306E25C"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264" w:type="dxa"/>
            <w:tcBorders>
              <w:top w:val="nil"/>
              <w:left w:val="nil"/>
              <w:bottom w:val="nil"/>
              <w:right w:val="nil"/>
            </w:tcBorders>
            <w:vAlign w:val="bottom"/>
          </w:tcPr>
          <w:p w14:paraId="5A26AB9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0.27</w:t>
            </w:r>
          </w:p>
        </w:tc>
        <w:tc>
          <w:tcPr>
            <w:tcW w:w="316" w:type="dxa"/>
            <w:tcBorders>
              <w:top w:val="nil"/>
              <w:left w:val="nil"/>
              <w:bottom w:val="nil"/>
              <w:right w:val="nil"/>
            </w:tcBorders>
            <w:vAlign w:val="bottom"/>
          </w:tcPr>
          <w:p w14:paraId="18912389"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bl>
    <w:p w14:paraId="74AA560E" w14:textId="77777777" w:rsidR="00F63659" w:rsidRDefault="00F63659" w:rsidP="00F63659">
      <w:pPr>
        <w:widowControl w:val="0"/>
        <w:autoSpaceDE w:val="0"/>
        <w:adjustRightInd w:val="0"/>
        <w:spacing w:before="120" w:after="120" w:line="240" w:lineRule="auto"/>
        <w:jc w:val="both"/>
        <w:rPr>
          <w:rFonts w:cs="Calibri"/>
          <w:b/>
          <w:bCs/>
          <w:kern w:val="2"/>
          <w:sz w:val="18"/>
          <w:szCs w:val="18"/>
        </w:rPr>
      </w:pPr>
    </w:p>
    <w:p w14:paraId="45B43C50" w14:textId="77777777" w:rsidR="00F63659" w:rsidRDefault="00F63659" w:rsidP="00F63659">
      <w:pPr>
        <w:widowControl w:val="0"/>
        <w:autoSpaceDE w:val="0"/>
        <w:adjustRightInd w:val="0"/>
        <w:spacing w:before="120" w:after="120" w:line="240" w:lineRule="auto"/>
        <w:jc w:val="both"/>
        <w:rPr>
          <w:rFonts w:cs="Calibri"/>
          <w:b/>
          <w:bCs/>
          <w:kern w:val="2"/>
          <w:sz w:val="18"/>
          <w:szCs w:val="18"/>
        </w:rPr>
      </w:pPr>
    </w:p>
    <w:p w14:paraId="2E7AB230" w14:textId="77777777" w:rsidR="00F63659" w:rsidRDefault="00F63659" w:rsidP="00F63659">
      <w:pPr>
        <w:widowControl w:val="0"/>
        <w:autoSpaceDE w:val="0"/>
        <w:adjustRightInd w:val="0"/>
        <w:spacing w:before="120" w:after="120" w:line="240" w:lineRule="auto"/>
        <w:jc w:val="both"/>
        <w:rPr>
          <w:rFonts w:cs="Calibri"/>
          <w:b/>
          <w:bCs/>
          <w:kern w:val="2"/>
          <w:sz w:val="18"/>
          <w:szCs w:val="18"/>
        </w:rPr>
      </w:pPr>
    </w:p>
    <w:p w14:paraId="71D46BEF"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40CAE2FB"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42434D0E"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52826607"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2580B659"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1460F67E"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48804C7D"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7BF5D368"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6D85836F" w14:textId="77777777"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p>
    <w:p w14:paraId="47520DDC" w14:textId="20BC2934" w:rsidR="00704337"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r w:rsidRPr="009E46DF">
        <w:rPr>
          <w:rFonts w:asciiTheme="minorHAnsi" w:eastAsia="SimSun" w:hAnsiTheme="minorHAnsi" w:cstheme="minorHAnsi"/>
          <w:b/>
          <w:bCs/>
          <w:color w:val="auto"/>
          <w:kern w:val="2"/>
          <w:lang w:val="en-GB" w:eastAsia="zh-CN"/>
        </w:rPr>
        <w:t xml:space="preserve">STATEMENT OF </w:t>
      </w:r>
      <w:r>
        <w:rPr>
          <w:rFonts w:asciiTheme="minorHAnsi" w:eastAsia="SimSun" w:hAnsiTheme="minorHAnsi" w:cstheme="minorHAnsi"/>
          <w:b/>
          <w:bCs/>
          <w:color w:val="auto"/>
          <w:kern w:val="2"/>
          <w:lang w:val="en-GB" w:eastAsia="zh-CN"/>
        </w:rPr>
        <w:t xml:space="preserve">FINANCIAL POSITION </w:t>
      </w:r>
    </w:p>
    <w:p w14:paraId="31EA964D" w14:textId="77777777" w:rsidR="00704337" w:rsidRPr="009E46DF" w:rsidRDefault="00704337" w:rsidP="00704337">
      <w:pPr>
        <w:pStyle w:val="TextStd"/>
        <w:tabs>
          <w:tab w:val="clear" w:pos="576"/>
          <w:tab w:val="clear" w:pos="1152"/>
        </w:tabs>
        <w:jc w:val="left"/>
        <w:rPr>
          <w:rFonts w:asciiTheme="minorHAnsi" w:eastAsia="SimSun" w:hAnsiTheme="minorHAnsi" w:cstheme="minorHAnsi"/>
          <w:b/>
          <w:bCs/>
          <w:color w:val="auto"/>
          <w:kern w:val="2"/>
          <w:lang w:val="en-GB" w:eastAsia="zh-CN"/>
        </w:rPr>
      </w:pPr>
      <w:r>
        <w:rPr>
          <w:rFonts w:asciiTheme="minorHAnsi" w:eastAsia="SimSun" w:hAnsiTheme="minorHAnsi" w:cstheme="minorHAnsi"/>
          <w:b/>
          <w:bCs/>
          <w:color w:val="auto"/>
          <w:kern w:val="2"/>
          <w:lang w:val="en-GB" w:eastAsia="zh-CN"/>
        </w:rPr>
        <w:lastRenderedPageBreak/>
        <w:t>as at 31 January 2021</w:t>
      </w:r>
    </w:p>
    <w:p w14:paraId="27F43E76" w14:textId="77777777" w:rsidR="00F63659" w:rsidRDefault="00F63659" w:rsidP="00F63659">
      <w:pPr>
        <w:widowControl w:val="0"/>
        <w:autoSpaceDE w:val="0"/>
        <w:adjustRightInd w:val="0"/>
        <w:spacing w:before="120" w:after="120" w:line="240" w:lineRule="auto"/>
        <w:jc w:val="both"/>
        <w:rPr>
          <w:rFonts w:cs="Calibri"/>
          <w:b/>
          <w:bCs/>
          <w:kern w:val="2"/>
          <w:sz w:val="18"/>
          <w:szCs w:val="18"/>
        </w:rPr>
      </w:pPr>
    </w:p>
    <w:tbl>
      <w:tblPr>
        <w:tblW w:w="9906" w:type="dxa"/>
        <w:tblLayout w:type="fixed"/>
        <w:tblLook w:val="0000" w:firstRow="0" w:lastRow="0" w:firstColumn="0" w:lastColumn="0" w:noHBand="0" w:noVBand="0"/>
      </w:tblPr>
      <w:tblGrid>
        <w:gridCol w:w="4678"/>
        <w:gridCol w:w="960"/>
        <w:gridCol w:w="300"/>
        <w:gridCol w:w="236"/>
        <w:gridCol w:w="236"/>
        <w:gridCol w:w="678"/>
        <w:gridCol w:w="236"/>
        <w:gridCol w:w="1115"/>
        <w:gridCol w:w="1147"/>
        <w:gridCol w:w="320"/>
      </w:tblGrid>
      <w:tr w:rsidR="00F63659" w14:paraId="5F17851D" w14:textId="77777777" w:rsidTr="00F63659">
        <w:trPr>
          <w:trHeight w:val="300"/>
        </w:trPr>
        <w:tc>
          <w:tcPr>
            <w:tcW w:w="4678" w:type="dxa"/>
            <w:tcBorders>
              <w:top w:val="nil"/>
              <w:left w:val="nil"/>
              <w:bottom w:val="nil"/>
              <w:right w:val="nil"/>
            </w:tcBorders>
            <w:vAlign w:val="bottom"/>
          </w:tcPr>
          <w:p w14:paraId="2C4903F1" w14:textId="77777777" w:rsidR="00F63659" w:rsidRDefault="00F63659" w:rsidP="00CC7A1D">
            <w:pPr>
              <w:autoSpaceDE w:val="0"/>
              <w:adjustRightInd w:val="0"/>
              <w:spacing w:after="0" w:line="240" w:lineRule="auto"/>
              <w:jc w:val="right"/>
              <w:rPr>
                <w:rFonts w:cs="Calibri"/>
                <w:color w:val="000000"/>
                <w:sz w:val="18"/>
                <w:szCs w:val="18"/>
              </w:rPr>
            </w:pPr>
          </w:p>
        </w:tc>
        <w:tc>
          <w:tcPr>
            <w:tcW w:w="960" w:type="dxa"/>
            <w:tcBorders>
              <w:top w:val="nil"/>
              <w:left w:val="nil"/>
              <w:bottom w:val="nil"/>
              <w:right w:val="nil"/>
            </w:tcBorders>
            <w:vAlign w:val="center"/>
          </w:tcPr>
          <w:p w14:paraId="0828EF4C"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2570F9AC"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7A2704C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45EE9F68"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6E662847"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Note</w:t>
            </w:r>
          </w:p>
        </w:tc>
        <w:tc>
          <w:tcPr>
            <w:tcW w:w="236" w:type="dxa"/>
            <w:tcBorders>
              <w:top w:val="nil"/>
              <w:left w:val="nil"/>
              <w:bottom w:val="nil"/>
              <w:right w:val="nil"/>
            </w:tcBorders>
            <w:vAlign w:val="center"/>
          </w:tcPr>
          <w:p w14:paraId="6024214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nil"/>
              <w:left w:val="nil"/>
              <w:bottom w:val="nil"/>
              <w:right w:val="nil"/>
            </w:tcBorders>
            <w:vAlign w:val="center"/>
          </w:tcPr>
          <w:p w14:paraId="651D99CD"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31 January   2021</w:t>
            </w:r>
          </w:p>
        </w:tc>
        <w:tc>
          <w:tcPr>
            <w:tcW w:w="1147" w:type="dxa"/>
            <w:tcBorders>
              <w:top w:val="nil"/>
              <w:left w:val="nil"/>
              <w:bottom w:val="nil"/>
              <w:right w:val="nil"/>
            </w:tcBorders>
            <w:vAlign w:val="center"/>
          </w:tcPr>
          <w:p w14:paraId="3BA234B9"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31 January   2020</w:t>
            </w:r>
          </w:p>
        </w:tc>
        <w:tc>
          <w:tcPr>
            <w:tcW w:w="320" w:type="dxa"/>
            <w:tcBorders>
              <w:top w:val="nil"/>
              <w:left w:val="nil"/>
              <w:bottom w:val="nil"/>
              <w:right w:val="nil"/>
            </w:tcBorders>
            <w:vAlign w:val="center"/>
          </w:tcPr>
          <w:p w14:paraId="58CD8295"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0398D586" w14:textId="77777777" w:rsidTr="00F63659">
        <w:trPr>
          <w:trHeight w:val="300"/>
        </w:trPr>
        <w:tc>
          <w:tcPr>
            <w:tcW w:w="4678" w:type="dxa"/>
            <w:tcBorders>
              <w:top w:val="nil"/>
              <w:left w:val="nil"/>
              <w:bottom w:val="nil"/>
              <w:right w:val="nil"/>
            </w:tcBorders>
            <w:vAlign w:val="bottom"/>
          </w:tcPr>
          <w:p w14:paraId="245A947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960" w:type="dxa"/>
            <w:tcBorders>
              <w:top w:val="nil"/>
              <w:left w:val="nil"/>
              <w:bottom w:val="nil"/>
              <w:right w:val="nil"/>
            </w:tcBorders>
            <w:vAlign w:val="center"/>
          </w:tcPr>
          <w:p w14:paraId="41FE2E1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4F39E252"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7AAC3AB4"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3C550034"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23F5ABA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2C5DFB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nil"/>
              <w:left w:val="nil"/>
              <w:bottom w:val="nil"/>
              <w:right w:val="nil"/>
            </w:tcBorders>
            <w:vAlign w:val="center"/>
          </w:tcPr>
          <w:p w14:paraId="1C2400A4"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w:t>
            </w:r>
          </w:p>
        </w:tc>
        <w:tc>
          <w:tcPr>
            <w:tcW w:w="1147" w:type="dxa"/>
            <w:tcBorders>
              <w:top w:val="nil"/>
              <w:left w:val="nil"/>
              <w:bottom w:val="nil"/>
              <w:right w:val="nil"/>
            </w:tcBorders>
            <w:vAlign w:val="center"/>
          </w:tcPr>
          <w:p w14:paraId="2C395DE9"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w:t>
            </w:r>
          </w:p>
        </w:tc>
        <w:tc>
          <w:tcPr>
            <w:tcW w:w="320" w:type="dxa"/>
            <w:tcBorders>
              <w:top w:val="nil"/>
              <w:left w:val="nil"/>
              <w:bottom w:val="nil"/>
              <w:right w:val="nil"/>
            </w:tcBorders>
            <w:vAlign w:val="center"/>
          </w:tcPr>
          <w:p w14:paraId="2FD46E51"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02933DBD" w14:textId="77777777" w:rsidTr="00F63659">
        <w:trPr>
          <w:trHeight w:val="300"/>
        </w:trPr>
        <w:tc>
          <w:tcPr>
            <w:tcW w:w="4678" w:type="dxa"/>
            <w:tcBorders>
              <w:top w:val="nil"/>
              <w:left w:val="nil"/>
              <w:bottom w:val="nil"/>
              <w:right w:val="nil"/>
            </w:tcBorders>
            <w:vAlign w:val="center"/>
          </w:tcPr>
          <w:p w14:paraId="19441CB8" w14:textId="77777777" w:rsidR="00F63659" w:rsidRDefault="00F63659" w:rsidP="00CC7A1D">
            <w:pPr>
              <w:autoSpaceDE w:val="0"/>
              <w:adjustRightInd w:val="0"/>
              <w:spacing w:after="0" w:line="240" w:lineRule="auto"/>
              <w:rPr>
                <w:rFonts w:cs="Calibri"/>
                <w:b/>
                <w:bCs/>
                <w:color w:val="000000"/>
                <w:sz w:val="18"/>
                <w:szCs w:val="18"/>
              </w:rPr>
            </w:pPr>
            <w:r>
              <w:rPr>
                <w:rFonts w:cs="Calibri"/>
                <w:b/>
                <w:bCs/>
                <w:color w:val="000000"/>
                <w:sz w:val="18"/>
                <w:szCs w:val="18"/>
              </w:rPr>
              <w:t>ASSETS</w:t>
            </w:r>
          </w:p>
        </w:tc>
        <w:tc>
          <w:tcPr>
            <w:tcW w:w="960" w:type="dxa"/>
            <w:tcBorders>
              <w:top w:val="nil"/>
              <w:left w:val="nil"/>
              <w:bottom w:val="nil"/>
              <w:right w:val="nil"/>
            </w:tcBorders>
            <w:vAlign w:val="center"/>
          </w:tcPr>
          <w:p w14:paraId="650E8AAB" w14:textId="77777777" w:rsidR="00F63659" w:rsidRDefault="00F63659" w:rsidP="00CC7A1D">
            <w:pPr>
              <w:autoSpaceDE w:val="0"/>
              <w:adjustRightInd w:val="0"/>
              <w:spacing w:after="0" w:line="240" w:lineRule="auto"/>
              <w:rPr>
                <w:rFonts w:cs="Calibri"/>
                <w:b/>
                <w:bCs/>
                <w:color w:val="000000"/>
                <w:sz w:val="18"/>
                <w:szCs w:val="18"/>
              </w:rPr>
            </w:pPr>
          </w:p>
        </w:tc>
        <w:tc>
          <w:tcPr>
            <w:tcW w:w="300" w:type="dxa"/>
            <w:tcBorders>
              <w:top w:val="nil"/>
              <w:left w:val="nil"/>
              <w:bottom w:val="nil"/>
              <w:right w:val="nil"/>
            </w:tcBorders>
            <w:vAlign w:val="center"/>
          </w:tcPr>
          <w:p w14:paraId="79EABB6D"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3D2547B9"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5A3D5940"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678" w:type="dxa"/>
            <w:tcBorders>
              <w:top w:val="nil"/>
              <w:left w:val="nil"/>
              <w:bottom w:val="nil"/>
              <w:right w:val="nil"/>
            </w:tcBorders>
            <w:vAlign w:val="center"/>
          </w:tcPr>
          <w:p w14:paraId="7E95CC4E"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53CBC74B"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15" w:type="dxa"/>
            <w:tcBorders>
              <w:top w:val="nil"/>
              <w:left w:val="nil"/>
              <w:bottom w:val="nil"/>
              <w:right w:val="nil"/>
            </w:tcBorders>
            <w:vAlign w:val="bottom"/>
          </w:tcPr>
          <w:p w14:paraId="4BA964EF"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47" w:type="dxa"/>
            <w:tcBorders>
              <w:top w:val="nil"/>
              <w:left w:val="nil"/>
              <w:bottom w:val="nil"/>
              <w:right w:val="nil"/>
            </w:tcBorders>
            <w:vAlign w:val="center"/>
          </w:tcPr>
          <w:p w14:paraId="3C91F2C0"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320" w:type="dxa"/>
            <w:tcBorders>
              <w:top w:val="nil"/>
              <w:left w:val="nil"/>
              <w:bottom w:val="nil"/>
              <w:right w:val="nil"/>
            </w:tcBorders>
            <w:vAlign w:val="center"/>
          </w:tcPr>
          <w:p w14:paraId="461A85FE" w14:textId="77777777" w:rsidR="00F63659" w:rsidRDefault="00F63659" w:rsidP="00CC7A1D">
            <w:pPr>
              <w:autoSpaceDE w:val="0"/>
              <w:adjustRightInd w:val="0"/>
              <w:spacing w:after="0" w:line="240" w:lineRule="auto"/>
              <w:jc w:val="right"/>
              <w:rPr>
                <w:rFonts w:ascii="Times New Roman" w:hAnsi="Times New Roman"/>
                <w:sz w:val="18"/>
                <w:szCs w:val="18"/>
              </w:rPr>
            </w:pPr>
          </w:p>
        </w:tc>
      </w:tr>
      <w:tr w:rsidR="00F63659" w14:paraId="2564F333" w14:textId="77777777" w:rsidTr="00F63659">
        <w:trPr>
          <w:trHeight w:val="300"/>
        </w:trPr>
        <w:tc>
          <w:tcPr>
            <w:tcW w:w="4678" w:type="dxa"/>
            <w:tcBorders>
              <w:top w:val="nil"/>
              <w:left w:val="nil"/>
              <w:bottom w:val="nil"/>
              <w:right w:val="nil"/>
            </w:tcBorders>
            <w:vAlign w:val="center"/>
          </w:tcPr>
          <w:p w14:paraId="65B434AE" w14:textId="77777777" w:rsidR="00F63659" w:rsidRDefault="00F63659" w:rsidP="00CC7A1D">
            <w:pPr>
              <w:autoSpaceDE w:val="0"/>
              <w:adjustRightInd w:val="0"/>
              <w:spacing w:after="0" w:line="240" w:lineRule="auto"/>
              <w:rPr>
                <w:rFonts w:cs="Calibri"/>
                <w:i/>
                <w:iCs/>
                <w:color w:val="000000"/>
                <w:sz w:val="18"/>
                <w:szCs w:val="18"/>
              </w:rPr>
            </w:pPr>
            <w:r>
              <w:rPr>
                <w:rFonts w:cs="Calibri"/>
                <w:i/>
                <w:iCs/>
                <w:color w:val="000000"/>
                <w:sz w:val="18"/>
                <w:szCs w:val="18"/>
              </w:rPr>
              <w:t>Current assets</w:t>
            </w:r>
          </w:p>
        </w:tc>
        <w:tc>
          <w:tcPr>
            <w:tcW w:w="960" w:type="dxa"/>
            <w:tcBorders>
              <w:top w:val="nil"/>
              <w:left w:val="nil"/>
              <w:bottom w:val="nil"/>
              <w:right w:val="nil"/>
            </w:tcBorders>
            <w:vAlign w:val="center"/>
          </w:tcPr>
          <w:p w14:paraId="4D55D9D2" w14:textId="77777777" w:rsidR="00F63659" w:rsidRDefault="00F63659" w:rsidP="00CC7A1D">
            <w:pPr>
              <w:autoSpaceDE w:val="0"/>
              <w:adjustRightInd w:val="0"/>
              <w:spacing w:after="0" w:line="240" w:lineRule="auto"/>
              <w:rPr>
                <w:rFonts w:cs="Calibri"/>
                <w:i/>
                <w:iCs/>
                <w:color w:val="000000"/>
                <w:sz w:val="18"/>
                <w:szCs w:val="18"/>
              </w:rPr>
            </w:pPr>
          </w:p>
        </w:tc>
        <w:tc>
          <w:tcPr>
            <w:tcW w:w="300" w:type="dxa"/>
            <w:tcBorders>
              <w:top w:val="nil"/>
              <w:left w:val="nil"/>
              <w:bottom w:val="nil"/>
              <w:right w:val="nil"/>
            </w:tcBorders>
            <w:vAlign w:val="center"/>
          </w:tcPr>
          <w:p w14:paraId="71921943"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0CE02697"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0E351D17"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678" w:type="dxa"/>
            <w:tcBorders>
              <w:top w:val="nil"/>
              <w:left w:val="nil"/>
              <w:bottom w:val="nil"/>
              <w:right w:val="nil"/>
            </w:tcBorders>
            <w:vAlign w:val="center"/>
          </w:tcPr>
          <w:p w14:paraId="26A9B19B"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570F4E44"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15" w:type="dxa"/>
            <w:tcBorders>
              <w:top w:val="nil"/>
              <w:left w:val="nil"/>
              <w:bottom w:val="nil"/>
              <w:right w:val="nil"/>
            </w:tcBorders>
            <w:vAlign w:val="center"/>
          </w:tcPr>
          <w:p w14:paraId="013A6112"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47" w:type="dxa"/>
            <w:tcBorders>
              <w:top w:val="nil"/>
              <w:left w:val="nil"/>
              <w:bottom w:val="nil"/>
              <w:right w:val="nil"/>
            </w:tcBorders>
            <w:vAlign w:val="center"/>
          </w:tcPr>
          <w:p w14:paraId="37AAA543"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320" w:type="dxa"/>
            <w:tcBorders>
              <w:top w:val="nil"/>
              <w:left w:val="nil"/>
              <w:bottom w:val="nil"/>
              <w:right w:val="nil"/>
            </w:tcBorders>
            <w:vAlign w:val="center"/>
          </w:tcPr>
          <w:p w14:paraId="2892DE40" w14:textId="77777777" w:rsidR="00F63659" w:rsidRDefault="00F63659" w:rsidP="00CC7A1D">
            <w:pPr>
              <w:autoSpaceDE w:val="0"/>
              <w:adjustRightInd w:val="0"/>
              <w:spacing w:after="0" w:line="240" w:lineRule="auto"/>
              <w:jc w:val="right"/>
              <w:rPr>
                <w:rFonts w:ascii="Times New Roman" w:hAnsi="Times New Roman"/>
                <w:sz w:val="18"/>
                <w:szCs w:val="18"/>
              </w:rPr>
            </w:pPr>
          </w:p>
        </w:tc>
      </w:tr>
      <w:tr w:rsidR="00F63659" w14:paraId="0F13D7E9" w14:textId="77777777" w:rsidTr="00F63659">
        <w:trPr>
          <w:trHeight w:val="300"/>
        </w:trPr>
        <w:tc>
          <w:tcPr>
            <w:tcW w:w="4678" w:type="dxa"/>
            <w:tcBorders>
              <w:top w:val="nil"/>
              <w:left w:val="nil"/>
              <w:bottom w:val="nil"/>
              <w:right w:val="nil"/>
            </w:tcBorders>
            <w:vAlign w:val="center"/>
          </w:tcPr>
          <w:p w14:paraId="2CD2BCFA" w14:textId="77777777" w:rsidR="00F63659" w:rsidRDefault="00F63659" w:rsidP="00CC7A1D">
            <w:pPr>
              <w:autoSpaceDE w:val="0"/>
              <w:adjustRightInd w:val="0"/>
              <w:spacing w:after="0" w:line="240" w:lineRule="auto"/>
              <w:rPr>
                <w:rFonts w:cs="Calibri"/>
                <w:color w:val="000000"/>
                <w:sz w:val="18"/>
                <w:szCs w:val="18"/>
              </w:rPr>
            </w:pPr>
            <w:r>
              <w:rPr>
                <w:rFonts w:cs="Calibri"/>
                <w:color w:val="000000"/>
                <w:sz w:val="18"/>
                <w:szCs w:val="18"/>
              </w:rPr>
              <w:t>Trade and other receivables</w:t>
            </w:r>
          </w:p>
        </w:tc>
        <w:tc>
          <w:tcPr>
            <w:tcW w:w="960" w:type="dxa"/>
            <w:tcBorders>
              <w:top w:val="nil"/>
              <w:left w:val="nil"/>
              <w:bottom w:val="nil"/>
              <w:right w:val="nil"/>
            </w:tcBorders>
            <w:vAlign w:val="center"/>
          </w:tcPr>
          <w:p w14:paraId="2BA8874E" w14:textId="77777777" w:rsidR="00F63659" w:rsidRDefault="00F63659" w:rsidP="00CC7A1D">
            <w:pPr>
              <w:autoSpaceDE w:val="0"/>
              <w:adjustRightInd w:val="0"/>
              <w:spacing w:after="0" w:line="240" w:lineRule="auto"/>
              <w:rPr>
                <w:rFonts w:cs="Calibri"/>
                <w:i/>
                <w:iCs/>
                <w:color w:val="000000"/>
                <w:sz w:val="18"/>
                <w:szCs w:val="18"/>
              </w:rPr>
            </w:pPr>
          </w:p>
        </w:tc>
        <w:tc>
          <w:tcPr>
            <w:tcW w:w="300" w:type="dxa"/>
            <w:tcBorders>
              <w:top w:val="nil"/>
              <w:left w:val="nil"/>
              <w:bottom w:val="nil"/>
              <w:right w:val="nil"/>
            </w:tcBorders>
            <w:vAlign w:val="center"/>
          </w:tcPr>
          <w:p w14:paraId="7B5B95EC"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03936FBB"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4A32091D"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678" w:type="dxa"/>
            <w:tcBorders>
              <w:top w:val="nil"/>
              <w:left w:val="nil"/>
              <w:bottom w:val="nil"/>
              <w:right w:val="nil"/>
            </w:tcBorders>
            <w:vAlign w:val="center"/>
          </w:tcPr>
          <w:p w14:paraId="7C946F81"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5</w:t>
            </w:r>
          </w:p>
        </w:tc>
        <w:tc>
          <w:tcPr>
            <w:tcW w:w="236" w:type="dxa"/>
            <w:tcBorders>
              <w:top w:val="nil"/>
              <w:left w:val="nil"/>
              <w:bottom w:val="nil"/>
              <w:right w:val="nil"/>
            </w:tcBorders>
            <w:vAlign w:val="center"/>
          </w:tcPr>
          <w:p w14:paraId="65869D20"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15" w:type="dxa"/>
            <w:tcBorders>
              <w:top w:val="nil"/>
              <w:left w:val="nil"/>
              <w:bottom w:val="nil"/>
              <w:right w:val="nil"/>
            </w:tcBorders>
            <w:vAlign w:val="center"/>
          </w:tcPr>
          <w:p w14:paraId="7846B8CD" w14:textId="77777777" w:rsidR="00F63659" w:rsidRDefault="00F63659" w:rsidP="00CC7A1D">
            <w:pPr>
              <w:autoSpaceDE w:val="0"/>
              <w:adjustRightInd w:val="0"/>
              <w:spacing w:after="0" w:line="240" w:lineRule="auto"/>
              <w:jc w:val="right"/>
              <w:rPr>
                <w:rFonts w:cs="Calibri"/>
                <w:color w:val="000000"/>
                <w:sz w:val="18"/>
                <w:szCs w:val="18"/>
              </w:rPr>
            </w:pPr>
            <w:r>
              <w:rPr>
                <w:rFonts w:cs="Calibri"/>
                <w:color w:val="000000"/>
                <w:sz w:val="18"/>
                <w:szCs w:val="18"/>
              </w:rPr>
              <w:t>25,191</w:t>
            </w:r>
          </w:p>
        </w:tc>
        <w:tc>
          <w:tcPr>
            <w:tcW w:w="1147" w:type="dxa"/>
            <w:tcBorders>
              <w:top w:val="nil"/>
              <w:left w:val="nil"/>
              <w:bottom w:val="nil"/>
              <w:right w:val="nil"/>
            </w:tcBorders>
            <w:vAlign w:val="center"/>
          </w:tcPr>
          <w:p w14:paraId="4C2C8B0E" w14:textId="77777777" w:rsidR="00F63659" w:rsidRDefault="00F63659" w:rsidP="00CC7A1D">
            <w:pPr>
              <w:autoSpaceDE w:val="0"/>
              <w:adjustRightInd w:val="0"/>
              <w:spacing w:after="0" w:line="240" w:lineRule="auto"/>
              <w:jc w:val="right"/>
              <w:rPr>
                <w:rFonts w:ascii="Times New Roman" w:hAnsi="Times New Roman"/>
                <w:sz w:val="18"/>
                <w:szCs w:val="18"/>
              </w:rPr>
            </w:pPr>
            <w:r>
              <w:rPr>
                <w:rFonts w:ascii="Times New Roman" w:hAnsi="Times New Roman"/>
                <w:sz w:val="18"/>
                <w:szCs w:val="18"/>
              </w:rPr>
              <w:t>-</w:t>
            </w:r>
          </w:p>
        </w:tc>
        <w:tc>
          <w:tcPr>
            <w:tcW w:w="320" w:type="dxa"/>
            <w:tcBorders>
              <w:top w:val="nil"/>
              <w:left w:val="nil"/>
              <w:bottom w:val="nil"/>
              <w:right w:val="nil"/>
            </w:tcBorders>
            <w:vAlign w:val="center"/>
          </w:tcPr>
          <w:p w14:paraId="63DF7838" w14:textId="77777777" w:rsidR="00F63659" w:rsidRDefault="00F63659" w:rsidP="00CC7A1D">
            <w:pPr>
              <w:autoSpaceDE w:val="0"/>
              <w:adjustRightInd w:val="0"/>
              <w:spacing w:after="0" w:line="240" w:lineRule="auto"/>
              <w:jc w:val="right"/>
              <w:rPr>
                <w:rFonts w:ascii="Times New Roman" w:hAnsi="Times New Roman"/>
                <w:sz w:val="18"/>
                <w:szCs w:val="18"/>
              </w:rPr>
            </w:pPr>
          </w:p>
        </w:tc>
      </w:tr>
      <w:tr w:rsidR="00F63659" w14:paraId="3281105D" w14:textId="77777777" w:rsidTr="00F63659">
        <w:trPr>
          <w:trHeight w:val="300"/>
        </w:trPr>
        <w:tc>
          <w:tcPr>
            <w:tcW w:w="4678" w:type="dxa"/>
            <w:tcBorders>
              <w:top w:val="nil"/>
              <w:left w:val="nil"/>
              <w:bottom w:val="nil"/>
              <w:right w:val="nil"/>
            </w:tcBorders>
            <w:vAlign w:val="center"/>
          </w:tcPr>
          <w:p w14:paraId="074EB7C6" w14:textId="77777777" w:rsidR="00F63659" w:rsidRDefault="00F63659" w:rsidP="00CC7A1D">
            <w:pPr>
              <w:autoSpaceDE w:val="0"/>
              <w:adjustRightInd w:val="0"/>
              <w:spacing w:after="0" w:line="240" w:lineRule="auto"/>
              <w:rPr>
                <w:rFonts w:cs="Calibri"/>
                <w:color w:val="000000"/>
                <w:sz w:val="18"/>
                <w:szCs w:val="18"/>
              </w:rPr>
            </w:pPr>
            <w:r>
              <w:rPr>
                <w:rFonts w:cs="Calibri"/>
                <w:color w:val="000000"/>
                <w:sz w:val="18"/>
                <w:szCs w:val="18"/>
              </w:rPr>
              <w:t>Cash and cash equivalents</w:t>
            </w:r>
          </w:p>
        </w:tc>
        <w:tc>
          <w:tcPr>
            <w:tcW w:w="960" w:type="dxa"/>
            <w:tcBorders>
              <w:top w:val="nil"/>
              <w:left w:val="nil"/>
              <w:bottom w:val="nil"/>
              <w:right w:val="nil"/>
            </w:tcBorders>
            <w:vAlign w:val="center"/>
          </w:tcPr>
          <w:p w14:paraId="71ECEE42" w14:textId="77777777" w:rsidR="00F63659" w:rsidRDefault="00F63659" w:rsidP="00CC7A1D">
            <w:pPr>
              <w:autoSpaceDE w:val="0"/>
              <w:adjustRightInd w:val="0"/>
              <w:spacing w:after="0" w:line="240" w:lineRule="auto"/>
              <w:rPr>
                <w:rFonts w:cs="Calibri"/>
                <w:i/>
                <w:iCs/>
                <w:color w:val="000000"/>
                <w:sz w:val="18"/>
                <w:szCs w:val="18"/>
              </w:rPr>
            </w:pPr>
          </w:p>
        </w:tc>
        <w:tc>
          <w:tcPr>
            <w:tcW w:w="300" w:type="dxa"/>
            <w:tcBorders>
              <w:top w:val="nil"/>
              <w:left w:val="nil"/>
              <w:bottom w:val="nil"/>
              <w:right w:val="nil"/>
            </w:tcBorders>
            <w:vAlign w:val="center"/>
          </w:tcPr>
          <w:p w14:paraId="297D572F"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48866DA1"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6828A53C"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678" w:type="dxa"/>
            <w:tcBorders>
              <w:top w:val="nil"/>
              <w:left w:val="nil"/>
              <w:bottom w:val="nil"/>
              <w:right w:val="nil"/>
            </w:tcBorders>
            <w:vAlign w:val="center"/>
          </w:tcPr>
          <w:p w14:paraId="7A57D04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15DE19B3" w14:textId="77777777" w:rsidR="00F63659" w:rsidRDefault="00F63659" w:rsidP="00CC7A1D">
            <w:pPr>
              <w:autoSpaceDE w:val="0"/>
              <w:adjustRightInd w:val="0"/>
              <w:spacing w:after="0" w:line="240" w:lineRule="auto"/>
              <w:jc w:val="right"/>
              <w:rPr>
                <w:rFonts w:cs="Calibri"/>
                <w:color w:val="000000"/>
                <w:sz w:val="18"/>
                <w:szCs w:val="18"/>
              </w:rPr>
            </w:pPr>
          </w:p>
        </w:tc>
        <w:tc>
          <w:tcPr>
            <w:tcW w:w="1115" w:type="dxa"/>
            <w:tcBorders>
              <w:top w:val="nil"/>
              <w:left w:val="nil"/>
              <w:bottom w:val="nil"/>
              <w:right w:val="nil"/>
            </w:tcBorders>
            <w:vAlign w:val="center"/>
          </w:tcPr>
          <w:p w14:paraId="048C9CB5" w14:textId="77777777" w:rsidR="00F63659" w:rsidRDefault="00F63659" w:rsidP="00CC7A1D">
            <w:pPr>
              <w:autoSpaceDE w:val="0"/>
              <w:adjustRightInd w:val="0"/>
              <w:spacing w:after="0" w:line="240" w:lineRule="auto"/>
              <w:jc w:val="right"/>
              <w:rPr>
                <w:rFonts w:cs="Calibri"/>
                <w:color w:val="000000"/>
                <w:sz w:val="18"/>
                <w:szCs w:val="18"/>
              </w:rPr>
            </w:pPr>
            <w:r>
              <w:rPr>
                <w:rFonts w:cs="Calibri"/>
                <w:color w:val="000000"/>
                <w:sz w:val="18"/>
                <w:szCs w:val="18"/>
              </w:rPr>
              <w:t>363,652</w:t>
            </w:r>
          </w:p>
        </w:tc>
        <w:tc>
          <w:tcPr>
            <w:tcW w:w="1147" w:type="dxa"/>
            <w:tcBorders>
              <w:top w:val="nil"/>
              <w:left w:val="nil"/>
              <w:bottom w:val="nil"/>
              <w:right w:val="nil"/>
            </w:tcBorders>
            <w:vAlign w:val="center"/>
          </w:tcPr>
          <w:p w14:paraId="21647378" w14:textId="77777777" w:rsidR="00F63659" w:rsidRDefault="00F63659" w:rsidP="00CC7A1D">
            <w:pPr>
              <w:autoSpaceDE w:val="0"/>
              <w:adjustRightInd w:val="0"/>
              <w:spacing w:after="0" w:line="240" w:lineRule="auto"/>
              <w:jc w:val="right"/>
              <w:rPr>
                <w:rFonts w:cs="Calibri"/>
                <w:color w:val="000000"/>
                <w:sz w:val="18"/>
                <w:szCs w:val="18"/>
              </w:rPr>
            </w:pPr>
            <w:r>
              <w:rPr>
                <w:rFonts w:cs="Calibri"/>
                <w:color w:val="000000"/>
                <w:sz w:val="18"/>
                <w:szCs w:val="18"/>
              </w:rPr>
              <w:t>62,573</w:t>
            </w:r>
          </w:p>
        </w:tc>
        <w:tc>
          <w:tcPr>
            <w:tcW w:w="320" w:type="dxa"/>
            <w:tcBorders>
              <w:top w:val="nil"/>
              <w:left w:val="nil"/>
              <w:bottom w:val="nil"/>
              <w:right w:val="nil"/>
            </w:tcBorders>
            <w:vAlign w:val="center"/>
          </w:tcPr>
          <w:p w14:paraId="25AE8069" w14:textId="77777777" w:rsidR="00F63659" w:rsidRDefault="00F63659" w:rsidP="00CC7A1D">
            <w:pPr>
              <w:autoSpaceDE w:val="0"/>
              <w:adjustRightInd w:val="0"/>
              <w:spacing w:after="0" w:line="240" w:lineRule="auto"/>
              <w:jc w:val="right"/>
              <w:rPr>
                <w:rFonts w:cs="Calibri"/>
                <w:color w:val="000000"/>
                <w:sz w:val="18"/>
                <w:szCs w:val="18"/>
              </w:rPr>
            </w:pPr>
          </w:p>
        </w:tc>
      </w:tr>
      <w:tr w:rsidR="00F63659" w14:paraId="4BB361FA" w14:textId="77777777" w:rsidTr="00F63659">
        <w:trPr>
          <w:trHeight w:val="315"/>
        </w:trPr>
        <w:tc>
          <w:tcPr>
            <w:tcW w:w="4678" w:type="dxa"/>
            <w:tcBorders>
              <w:top w:val="nil"/>
              <w:left w:val="nil"/>
              <w:bottom w:val="nil"/>
              <w:right w:val="nil"/>
            </w:tcBorders>
            <w:vAlign w:val="center"/>
          </w:tcPr>
          <w:p w14:paraId="1C5D9FEC" w14:textId="77777777" w:rsidR="00F63659" w:rsidRDefault="00F63659" w:rsidP="00CC7A1D">
            <w:pPr>
              <w:autoSpaceDE w:val="0"/>
              <w:adjustRightInd w:val="0"/>
              <w:spacing w:after="0" w:line="240" w:lineRule="auto"/>
              <w:rPr>
                <w:rFonts w:cs="Calibri"/>
                <w:b/>
                <w:bCs/>
                <w:color w:val="000000"/>
                <w:sz w:val="18"/>
                <w:szCs w:val="18"/>
              </w:rPr>
            </w:pPr>
            <w:r>
              <w:rPr>
                <w:rFonts w:cs="Calibri"/>
                <w:b/>
                <w:bCs/>
                <w:color w:val="000000"/>
                <w:sz w:val="18"/>
                <w:szCs w:val="18"/>
              </w:rPr>
              <w:t>Total assets</w:t>
            </w:r>
          </w:p>
        </w:tc>
        <w:tc>
          <w:tcPr>
            <w:tcW w:w="960" w:type="dxa"/>
            <w:tcBorders>
              <w:top w:val="nil"/>
              <w:left w:val="nil"/>
              <w:bottom w:val="nil"/>
              <w:right w:val="nil"/>
            </w:tcBorders>
            <w:vAlign w:val="center"/>
          </w:tcPr>
          <w:p w14:paraId="4ECCD5EF"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23380A51"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37F08CC2"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254C552"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2922A24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30B815D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single" w:sz="4" w:space="0" w:color="auto"/>
              <w:left w:val="nil"/>
              <w:bottom w:val="single" w:sz="6" w:space="0" w:color="auto"/>
              <w:right w:val="nil"/>
            </w:tcBorders>
            <w:vAlign w:val="center"/>
          </w:tcPr>
          <w:p w14:paraId="212AE513"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388,843</w:t>
            </w:r>
          </w:p>
        </w:tc>
        <w:tc>
          <w:tcPr>
            <w:tcW w:w="1147" w:type="dxa"/>
            <w:tcBorders>
              <w:top w:val="single" w:sz="4" w:space="0" w:color="auto"/>
              <w:left w:val="nil"/>
              <w:bottom w:val="single" w:sz="6" w:space="0" w:color="auto"/>
              <w:right w:val="nil"/>
            </w:tcBorders>
            <w:vAlign w:val="center"/>
          </w:tcPr>
          <w:p w14:paraId="05A2C912"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62,573</w:t>
            </w:r>
          </w:p>
        </w:tc>
        <w:tc>
          <w:tcPr>
            <w:tcW w:w="320" w:type="dxa"/>
            <w:tcBorders>
              <w:top w:val="nil"/>
              <w:left w:val="nil"/>
              <w:bottom w:val="nil"/>
              <w:right w:val="nil"/>
            </w:tcBorders>
            <w:vAlign w:val="center"/>
          </w:tcPr>
          <w:p w14:paraId="51086FBC"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4B89F137" w14:textId="77777777" w:rsidTr="00F63659">
        <w:trPr>
          <w:trHeight w:val="315"/>
        </w:trPr>
        <w:tc>
          <w:tcPr>
            <w:tcW w:w="4678" w:type="dxa"/>
            <w:tcBorders>
              <w:top w:val="nil"/>
              <w:left w:val="nil"/>
              <w:bottom w:val="nil"/>
              <w:right w:val="nil"/>
            </w:tcBorders>
            <w:vAlign w:val="center"/>
          </w:tcPr>
          <w:p w14:paraId="3BC2962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960" w:type="dxa"/>
            <w:tcBorders>
              <w:top w:val="nil"/>
              <w:left w:val="nil"/>
              <w:bottom w:val="nil"/>
              <w:right w:val="nil"/>
            </w:tcBorders>
            <w:vAlign w:val="center"/>
          </w:tcPr>
          <w:p w14:paraId="33062F74" w14:textId="77777777" w:rsidR="00F63659" w:rsidRDefault="00F63659" w:rsidP="00CC7A1D">
            <w:pPr>
              <w:autoSpaceDE w:val="0"/>
              <w:adjustRightInd w:val="0"/>
              <w:spacing w:after="0" w:line="240" w:lineRule="auto"/>
              <w:jc w:val="right"/>
              <w:rPr>
                <w:rFonts w:cs="Calibri"/>
                <w:color w:val="000000"/>
                <w:sz w:val="18"/>
                <w:szCs w:val="18"/>
              </w:rPr>
            </w:pPr>
          </w:p>
        </w:tc>
        <w:tc>
          <w:tcPr>
            <w:tcW w:w="300" w:type="dxa"/>
            <w:tcBorders>
              <w:top w:val="nil"/>
              <w:left w:val="nil"/>
              <w:bottom w:val="nil"/>
              <w:right w:val="nil"/>
            </w:tcBorders>
            <w:vAlign w:val="center"/>
          </w:tcPr>
          <w:p w14:paraId="0F574937" w14:textId="77777777" w:rsidR="00F63659" w:rsidRDefault="00F63659" w:rsidP="00CC7A1D">
            <w:pPr>
              <w:autoSpaceDE w:val="0"/>
              <w:adjustRightInd w:val="0"/>
              <w:spacing w:after="0" w:line="240" w:lineRule="auto"/>
              <w:jc w:val="right"/>
              <w:rPr>
                <w:rFonts w:cs="Calibri"/>
                <w:color w:val="000000"/>
                <w:sz w:val="18"/>
                <w:szCs w:val="18"/>
              </w:rPr>
            </w:pPr>
          </w:p>
        </w:tc>
        <w:tc>
          <w:tcPr>
            <w:tcW w:w="236" w:type="dxa"/>
            <w:tcBorders>
              <w:top w:val="nil"/>
              <w:left w:val="nil"/>
              <w:bottom w:val="nil"/>
              <w:right w:val="nil"/>
            </w:tcBorders>
            <w:vAlign w:val="center"/>
          </w:tcPr>
          <w:p w14:paraId="22A06ED1"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7FC8055D"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678" w:type="dxa"/>
            <w:tcBorders>
              <w:top w:val="nil"/>
              <w:left w:val="nil"/>
              <w:bottom w:val="nil"/>
              <w:right w:val="nil"/>
            </w:tcBorders>
            <w:vAlign w:val="center"/>
          </w:tcPr>
          <w:p w14:paraId="3782BEE4"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2DE1FF48"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15" w:type="dxa"/>
            <w:tcBorders>
              <w:top w:val="nil"/>
              <w:left w:val="nil"/>
              <w:bottom w:val="nil"/>
              <w:right w:val="nil"/>
            </w:tcBorders>
            <w:vAlign w:val="center"/>
          </w:tcPr>
          <w:p w14:paraId="520B2773"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47" w:type="dxa"/>
            <w:tcBorders>
              <w:top w:val="nil"/>
              <w:left w:val="nil"/>
              <w:bottom w:val="nil"/>
              <w:right w:val="nil"/>
            </w:tcBorders>
            <w:vAlign w:val="center"/>
          </w:tcPr>
          <w:p w14:paraId="10F54CC2"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320" w:type="dxa"/>
            <w:tcBorders>
              <w:top w:val="nil"/>
              <w:left w:val="nil"/>
              <w:bottom w:val="nil"/>
              <w:right w:val="nil"/>
            </w:tcBorders>
            <w:vAlign w:val="center"/>
          </w:tcPr>
          <w:p w14:paraId="2D8E6A1F" w14:textId="77777777" w:rsidR="00F63659" w:rsidRDefault="00F63659" w:rsidP="00CC7A1D">
            <w:pPr>
              <w:autoSpaceDE w:val="0"/>
              <w:adjustRightInd w:val="0"/>
              <w:spacing w:after="0" w:line="240" w:lineRule="auto"/>
              <w:jc w:val="right"/>
              <w:rPr>
                <w:rFonts w:ascii="Times New Roman" w:hAnsi="Times New Roman"/>
                <w:sz w:val="18"/>
                <w:szCs w:val="18"/>
              </w:rPr>
            </w:pPr>
          </w:p>
        </w:tc>
      </w:tr>
      <w:tr w:rsidR="00F63659" w14:paraId="51D478BC" w14:textId="77777777" w:rsidTr="00F63659">
        <w:trPr>
          <w:trHeight w:val="300"/>
        </w:trPr>
        <w:tc>
          <w:tcPr>
            <w:tcW w:w="4678" w:type="dxa"/>
            <w:tcBorders>
              <w:top w:val="nil"/>
              <w:left w:val="nil"/>
              <w:bottom w:val="nil"/>
              <w:right w:val="nil"/>
            </w:tcBorders>
            <w:vAlign w:val="center"/>
          </w:tcPr>
          <w:p w14:paraId="05F7AF8A" w14:textId="77777777" w:rsidR="00F63659" w:rsidRDefault="00F63659" w:rsidP="00CC7A1D">
            <w:pPr>
              <w:autoSpaceDE w:val="0"/>
              <w:adjustRightInd w:val="0"/>
              <w:spacing w:after="0" w:line="240" w:lineRule="auto"/>
              <w:rPr>
                <w:rFonts w:cs="Calibri"/>
                <w:b/>
                <w:bCs/>
                <w:color w:val="000000"/>
                <w:sz w:val="18"/>
                <w:szCs w:val="18"/>
              </w:rPr>
            </w:pPr>
            <w:r>
              <w:rPr>
                <w:rFonts w:cs="Calibri"/>
                <w:b/>
                <w:bCs/>
                <w:color w:val="000000"/>
                <w:sz w:val="18"/>
                <w:szCs w:val="18"/>
              </w:rPr>
              <w:t xml:space="preserve">EQUITY </w:t>
            </w:r>
          </w:p>
        </w:tc>
        <w:tc>
          <w:tcPr>
            <w:tcW w:w="960" w:type="dxa"/>
            <w:tcBorders>
              <w:top w:val="nil"/>
              <w:left w:val="nil"/>
              <w:bottom w:val="nil"/>
              <w:right w:val="nil"/>
            </w:tcBorders>
            <w:vAlign w:val="center"/>
          </w:tcPr>
          <w:p w14:paraId="0A15EB79" w14:textId="77777777" w:rsidR="00F63659" w:rsidRDefault="00F63659" w:rsidP="00CC7A1D">
            <w:pPr>
              <w:autoSpaceDE w:val="0"/>
              <w:adjustRightInd w:val="0"/>
              <w:spacing w:after="0" w:line="240" w:lineRule="auto"/>
              <w:rPr>
                <w:rFonts w:cs="Calibri"/>
                <w:b/>
                <w:bCs/>
                <w:color w:val="000000"/>
                <w:sz w:val="18"/>
                <w:szCs w:val="18"/>
              </w:rPr>
            </w:pPr>
          </w:p>
        </w:tc>
        <w:tc>
          <w:tcPr>
            <w:tcW w:w="300" w:type="dxa"/>
            <w:tcBorders>
              <w:top w:val="nil"/>
              <w:left w:val="nil"/>
              <w:bottom w:val="nil"/>
              <w:right w:val="nil"/>
            </w:tcBorders>
            <w:vAlign w:val="center"/>
          </w:tcPr>
          <w:p w14:paraId="05F72620"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757E50B2"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09EAA9EA"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678" w:type="dxa"/>
            <w:tcBorders>
              <w:top w:val="nil"/>
              <w:left w:val="nil"/>
              <w:bottom w:val="nil"/>
              <w:right w:val="nil"/>
            </w:tcBorders>
            <w:vAlign w:val="center"/>
          </w:tcPr>
          <w:p w14:paraId="0A852331"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30A3D695"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15" w:type="dxa"/>
            <w:tcBorders>
              <w:top w:val="nil"/>
              <w:left w:val="nil"/>
              <w:bottom w:val="nil"/>
              <w:right w:val="nil"/>
            </w:tcBorders>
            <w:vAlign w:val="center"/>
          </w:tcPr>
          <w:p w14:paraId="186BEC6C"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47" w:type="dxa"/>
            <w:tcBorders>
              <w:top w:val="nil"/>
              <w:left w:val="nil"/>
              <w:bottom w:val="nil"/>
              <w:right w:val="nil"/>
            </w:tcBorders>
            <w:vAlign w:val="center"/>
          </w:tcPr>
          <w:p w14:paraId="7F5999FC"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320" w:type="dxa"/>
            <w:tcBorders>
              <w:top w:val="nil"/>
              <w:left w:val="nil"/>
              <w:bottom w:val="nil"/>
              <w:right w:val="nil"/>
            </w:tcBorders>
            <w:vAlign w:val="center"/>
          </w:tcPr>
          <w:p w14:paraId="2B7565F0" w14:textId="77777777" w:rsidR="00F63659" w:rsidRDefault="00F63659" w:rsidP="00CC7A1D">
            <w:pPr>
              <w:autoSpaceDE w:val="0"/>
              <w:adjustRightInd w:val="0"/>
              <w:spacing w:after="0" w:line="240" w:lineRule="auto"/>
              <w:jc w:val="right"/>
              <w:rPr>
                <w:rFonts w:ascii="Times New Roman" w:hAnsi="Times New Roman"/>
                <w:sz w:val="18"/>
                <w:szCs w:val="18"/>
              </w:rPr>
            </w:pPr>
          </w:p>
        </w:tc>
      </w:tr>
      <w:tr w:rsidR="00F63659" w14:paraId="768C99C8" w14:textId="77777777" w:rsidTr="00F63659">
        <w:trPr>
          <w:trHeight w:val="300"/>
        </w:trPr>
        <w:tc>
          <w:tcPr>
            <w:tcW w:w="4678" w:type="dxa"/>
            <w:tcBorders>
              <w:top w:val="nil"/>
              <w:left w:val="nil"/>
              <w:bottom w:val="nil"/>
              <w:right w:val="nil"/>
            </w:tcBorders>
            <w:vAlign w:val="center"/>
          </w:tcPr>
          <w:p w14:paraId="5F28A840" w14:textId="77777777" w:rsidR="00F63659" w:rsidRDefault="00F63659" w:rsidP="00CC7A1D">
            <w:pPr>
              <w:autoSpaceDE w:val="0"/>
              <w:adjustRightInd w:val="0"/>
              <w:spacing w:after="0" w:line="240" w:lineRule="auto"/>
              <w:rPr>
                <w:rFonts w:cs="Calibri"/>
                <w:i/>
                <w:iCs/>
                <w:color w:val="000000"/>
                <w:sz w:val="18"/>
                <w:szCs w:val="18"/>
              </w:rPr>
            </w:pPr>
            <w:r>
              <w:rPr>
                <w:rFonts w:cs="Calibri"/>
                <w:i/>
                <w:iCs/>
                <w:color w:val="000000"/>
                <w:sz w:val="18"/>
                <w:szCs w:val="18"/>
              </w:rPr>
              <w:t xml:space="preserve">Equity Attributable to Owners of the company </w:t>
            </w:r>
          </w:p>
        </w:tc>
        <w:tc>
          <w:tcPr>
            <w:tcW w:w="960" w:type="dxa"/>
            <w:tcBorders>
              <w:top w:val="nil"/>
              <w:left w:val="nil"/>
              <w:bottom w:val="nil"/>
              <w:right w:val="nil"/>
            </w:tcBorders>
            <w:vAlign w:val="center"/>
          </w:tcPr>
          <w:p w14:paraId="35CB84EE" w14:textId="77777777" w:rsidR="00F63659" w:rsidRDefault="00F63659" w:rsidP="00CC7A1D">
            <w:pPr>
              <w:autoSpaceDE w:val="0"/>
              <w:adjustRightInd w:val="0"/>
              <w:spacing w:after="0" w:line="240" w:lineRule="auto"/>
              <w:rPr>
                <w:rFonts w:cs="Calibri"/>
                <w:i/>
                <w:iCs/>
                <w:color w:val="000000"/>
                <w:sz w:val="18"/>
                <w:szCs w:val="18"/>
              </w:rPr>
            </w:pPr>
          </w:p>
        </w:tc>
        <w:tc>
          <w:tcPr>
            <w:tcW w:w="300" w:type="dxa"/>
            <w:tcBorders>
              <w:top w:val="nil"/>
              <w:left w:val="nil"/>
              <w:bottom w:val="nil"/>
              <w:right w:val="nil"/>
            </w:tcBorders>
            <w:vAlign w:val="center"/>
          </w:tcPr>
          <w:p w14:paraId="5BB76498"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259AF5A9"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44CF1116"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678" w:type="dxa"/>
            <w:tcBorders>
              <w:top w:val="nil"/>
              <w:left w:val="nil"/>
              <w:bottom w:val="nil"/>
              <w:right w:val="nil"/>
            </w:tcBorders>
            <w:vAlign w:val="center"/>
          </w:tcPr>
          <w:p w14:paraId="56CF57C7"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236" w:type="dxa"/>
            <w:tcBorders>
              <w:top w:val="nil"/>
              <w:left w:val="nil"/>
              <w:bottom w:val="nil"/>
              <w:right w:val="nil"/>
            </w:tcBorders>
            <w:vAlign w:val="center"/>
          </w:tcPr>
          <w:p w14:paraId="6B673E83"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15" w:type="dxa"/>
            <w:tcBorders>
              <w:top w:val="nil"/>
              <w:left w:val="nil"/>
              <w:bottom w:val="nil"/>
              <w:right w:val="nil"/>
            </w:tcBorders>
            <w:vAlign w:val="center"/>
          </w:tcPr>
          <w:p w14:paraId="72D623E5"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1147" w:type="dxa"/>
            <w:tcBorders>
              <w:top w:val="nil"/>
              <w:left w:val="nil"/>
              <w:bottom w:val="nil"/>
              <w:right w:val="nil"/>
            </w:tcBorders>
            <w:vAlign w:val="center"/>
          </w:tcPr>
          <w:p w14:paraId="1C2BEF38" w14:textId="77777777" w:rsidR="00F63659" w:rsidRDefault="00F63659" w:rsidP="00CC7A1D">
            <w:pPr>
              <w:autoSpaceDE w:val="0"/>
              <w:adjustRightInd w:val="0"/>
              <w:spacing w:after="0" w:line="240" w:lineRule="auto"/>
              <w:jc w:val="right"/>
              <w:rPr>
                <w:rFonts w:ascii="Times New Roman" w:hAnsi="Times New Roman"/>
                <w:sz w:val="18"/>
                <w:szCs w:val="18"/>
              </w:rPr>
            </w:pPr>
          </w:p>
        </w:tc>
        <w:tc>
          <w:tcPr>
            <w:tcW w:w="320" w:type="dxa"/>
            <w:tcBorders>
              <w:top w:val="nil"/>
              <w:left w:val="nil"/>
              <w:bottom w:val="nil"/>
              <w:right w:val="nil"/>
            </w:tcBorders>
            <w:vAlign w:val="center"/>
          </w:tcPr>
          <w:p w14:paraId="5C8507E4" w14:textId="77777777" w:rsidR="00F63659" w:rsidRDefault="00F63659" w:rsidP="00CC7A1D">
            <w:pPr>
              <w:autoSpaceDE w:val="0"/>
              <w:adjustRightInd w:val="0"/>
              <w:spacing w:after="0" w:line="240" w:lineRule="auto"/>
              <w:jc w:val="right"/>
              <w:rPr>
                <w:rFonts w:ascii="Times New Roman" w:hAnsi="Times New Roman"/>
                <w:sz w:val="18"/>
                <w:szCs w:val="18"/>
              </w:rPr>
            </w:pPr>
          </w:p>
        </w:tc>
      </w:tr>
      <w:tr w:rsidR="00F63659" w14:paraId="6B14065F" w14:textId="77777777" w:rsidTr="00F63659">
        <w:trPr>
          <w:trHeight w:val="300"/>
        </w:trPr>
        <w:tc>
          <w:tcPr>
            <w:tcW w:w="4678" w:type="dxa"/>
            <w:tcBorders>
              <w:top w:val="nil"/>
              <w:left w:val="nil"/>
              <w:bottom w:val="nil"/>
              <w:right w:val="nil"/>
            </w:tcBorders>
            <w:vAlign w:val="center"/>
          </w:tcPr>
          <w:p w14:paraId="0AF47356" w14:textId="77777777" w:rsidR="00F63659" w:rsidRDefault="00F63659" w:rsidP="00CC7A1D">
            <w:pPr>
              <w:autoSpaceDE w:val="0"/>
              <w:adjustRightInd w:val="0"/>
              <w:spacing w:after="0" w:line="240" w:lineRule="auto"/>
              <w:rPr>
                <w:rFonts w:cs="Calibri"/>
                <w:color w:val="000000"/>
                <w:sz w:val="18"/>
                <w:szCs w:val="18"/>
              </w:rPr>
            </w:pPr>
            <w:r>
              <w:rPr>
                <w:rFonts w:cs="Calibri"/>
                <w:color w:val="000000"/>
                <w:sz w:val="18"/>
                <w:szCs w:val="18"/>
              </w:rPr>
              <w:t>Share capital</w:t>
            </w:r>
          </w:p>
        </w:tc>
        <w:tc>
          <w:tcPr>
            <w:tcW w:w="960" w:type="dxa"/>
            <w:tcBorders>
              <w:top w:val="nil"/>
              <w:left w:val="nil"/>
              <w:bottom w:val="nil"/>
              <w:right w:val="nil"/>
            </w:tcBorders>
            <w:vAlign w:val="center"/>
          </w:tcPr>
          <w:p w14:paraId="5EF9707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225BCD3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36DB6302"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197222E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4AB12C2A"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6</w:t>
            </w:r>
          </w:p>
        </w:tc>
        <w:tc>
          <w:tcPr>
            <w:tcW w:w="236" w:type="dxa"/>
            <w:tcBorders>
              <w:top w:val="nil"/>
              <w:left w:val="nil"/>
              <w:bottom w:val="nil"/>
              <w:right w:val="nil"/>
            </w:tcBorders>
            <w:vAlign w:val="center"/>
          </w:tcPr>
          <w:p w14:paraId="09F82EF6" w14:textId="77777777" w:rsidR="00F63659" w:rsidRDefault="00F63659" w:rsidP="00CC7A1D">
            <w:pPr>
              <w:autoSpaceDE w:val="0"/>
              <w:adjustRightInd w:val="0"/>
              <w:spacing w:after="0" w:line="240" w:lineRule="auto"/>
              <w:jc w:val="right"/>
              <w:rPr>
                <w:rFonts w:cs="Calibri"/>
                <w:color w:val="000000"/>
                <w:sz w:val="18"/>
                <w:szCs w:val="18"/>
              </w:rPr>
            </w:pPr>
          </w:p>
        </w:tc>
        <w:tc>
          <w:tcPr>
            <w:tcW w:w="1115" w:type="dxa"/>
            <w:tcBorders>
              <w:top w:val="nil"/>
              <w:left w:val="nil"/>
              <w:bottom w:val="nil"/>
              <w:right w:val="nil"/>
            </w:tcBorders>
            <w:vAlign w:val="center"/>
          </w:tcPr>
          <w:p w14:paraId="112E55D5" w14:textId="77777777" w:rsidR="00F63659" w:rsidRDefault="00F63659" w:rsidP="00CC7A1D">
            <w:pPr>
              <w:autoSpaceDE w:val="0"/>
              <w:adjustRightInd w:val="0"/>
              <w:spacing w:after="0" w:line="240" w:lineRule="auto"/>
              <w:jc w:val="center"/>
              <w:rPr>
                <w:rFonts w:cs="Calibri"/>
                <w:color w:val="000000"/>
                <w:sz w:val="18"/>
                <w:szCs w:val="18"/>
              </w:rPr>
            </w:pPr>
            <w:r>
              <w:rPr>
                <w:rFonts w:cs="Calibri"/>
                <w:color w:val="000000"/>
                <w:sz w:val="18"/>
                <w:szCs w:val="18"/>
              </w:rPr>
              <w:t xml:space="preserve">      320,500</w:t>
            </w:r>
          </w:p>
        </w:tc>
        <w:tc>
          <w:tcPr>
            <w:tcW w:w="1147" w:type="dxa"/>
            <w:tcBorders>
              <w:top w:val="nil"/>
              <w:left w:val="nil"/>
              <w:bottom w:val="nil"/>
              <w:right w:val="nil"/>
            </w:tcBorders>
            <w:vAlign w:val="center"/>
          </w:tcPr>
          <w:p w14:paraId="399F8447" w14:textId="77777777" w:rsidR="00F63659" w:rsidRDefault="00F63659" w:rsidP="00CC7A1D">
            <w:pPr>
              <w:autoSpaceDE w:val="0"/>
              <w:adjustRightInd w:val="0"/>
              <w:spacing w:after="0" w:line="240" w:lineRule="auto"/>
              <w:jc w:val="center"/>
              <w:rPr>
                <w:rFonts w:cs="Calibri"/>
                <w:color w:val="000000"/>
                <w:sz w:val="18"/>
                <w:szCs w:val="18"/>
              </w:rPr>
            </w:pPr>
            <w:r>
              <w:rPr>
                <w:rFonts w:cs="Calibri"/>
                <w:color w:val="000000"/>
                <w:sz w:val="18"/>
                <w:szCs w:val="18"/>
              </w:rPr>
              <w:t xml:space="preserve">      145,500</w:t>
            </w:r>
          </w:p>
        </w:tc>
        <w:tc>
          <w:tcPr>
            <w:tcW w:w="320" w:type="dxa"/>
            <w:tcBorders>
              <w:top w:val="nil"/>
              <w:left w:val="nil"/>
              <w:bottom w:val="nil"/>
              <w:right w:val="nil"/>
            </w:tcBorders>
            <w:vAlign w:val="center"/>
          </w:tcPr>
          <w:p w14:paraId="37A25E9A" w14:textId="77777777" w:rsidR="00F63659" w:rsidRDefault="00F63659" w:rsidP="00CC7A1D">
            <w:pPr>
              <w:autoSpaceDE w:val="0"/>
              <w:adjustRightInd w:val="0"/>
              <w:spacing w:after="0" w:line="240" w:lineRule="auto"/>
              <w:jc w:val="right"/>
              <w:rPr>
                <w:rFonts w:cs="Calibri"/>
                <w:color w:val="000000"/>
                <w:sz w:val="18"/>
                <w:szCs w:val="18"/>
              </w:rPr>
            </w:pPr>
          </w:p>
        </w:tc>
      </w:tr>
      <w:tr w:rsidR="00F63659" w14:paraId="5AAB20E2" w14:textId="77777777" w:rsidTr="00F63659">
        <w:trPr>
          <w:trHeight w:val="300"/>
        </w:trPr>
        <w:tc>
          <w:tcPr>
            <w:tcW w:w="4678" w:type="dxa"/>
            <w:tcBorders>
              <w:top w:val="nil"/>
              <w:left w:val="nil"/>
              <w:bottom w:val="nil"/>
              <w:right w:val="nil"/>
            </w:tcBorders>
            <w:vAlign w:val="center"/>
          </w:tcPr>
          <w:p w14:paraId="7A454ED6" w14:textId="77777777" w:rsidR="00F63659" w:rsidRDefault="00F63659" w:rsidP="00CC7A1D">
            <w:pPr>
              <w:autoSpaceDE w:val="0"/>
              <w:adjustRightInd w:val="0"/>
              <w:spacing w:after="0" w:line="240" w:lineRule="auto"/>
              <w:rPr>
                <w:rFonts w:cs="Calibri"/>
                <w:color w:val="000000"/>
                <w:sz w:val="18"/>
                <w:szCs w:val="18"/>
              </w:rPr>
            </w:pPr>
            <w:r>
              <w:rPr>
                <w:rFonts w:cs="Calibri"/>
                <w:color w:val="000000"/>
                <w:sz w:val="18"/>
                <w:szCs w:val="18"/>
              </w:rPr>
              <w:t>Share premium</w:t>
            </w:r>
          </w:p>
        </w:tc>
        <w:tc>
          <w:tcPr>
            <w:tcW w:w="960" w:type="dxa"/>
            <w:tcBorders>
              <w:top w:val="nil"/>
              <w:left w:val="nil"/>
              <w:bottom w:val="nil"/>
              <w:right w:val="nil"/>
            </w:tcBorders>
            <w:vAlign w:val="center"/>
          </w:tcPr>
          <w:p w14:paraId="4FEE705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0958722E"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1210782"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0B29D3EE"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5EB412CC" w14:textId="77777777" w:rsidR="00F63659" w:rsidRDefault="00F63659" w:rsidP="00CC7A1D">
            <w:pPr>
              <w:autoSpaceDE w:val="0"/>
              <w:adjustRightInd w:val="0"/>
              <w:spacing w:after="0" w:line="240" w:lineRule="auto"/>
              <w:jc w:val="right"/>
              <w:rPr>
                <w:rFonts w:cs="Calibri"/>
                <w:color w:val="000000"/>
                <w:sz w:val="18"/>
                <w:szCs w:val="18"/>
              </w:rPr>
            </w:pPr>
          </w:p>
        </w:tc>
        <w:tc>
          <w:tcPr>
            <w:tcW w:w="236" w:type="dxa"/>
            <w:tcBorders>
              <w:top w:val="nil"/>
              <w:left w:val="nil"/>
              <w:bottom w:val="nil"/>
              <w:right w:val="nil"/>
            </w:tcBorders>
            <w:vAlign w:val="center"/>
          </w:tcPr>
          <w:p w14:paraId="3D4204EF" w14:textId="77777777" w:rsidR="00F63659" w:rsidRDefault="00F63659" w:rsidP="00CC7A1D">
            <w:pPr>
              <w:autoSpaceDE w:val="0"/>
              <w:adjustRightInd w:val="0"/>
              <w:spacing w:after="0" w:line="240" w:lineRule="auto"/>
              <w:jc w:val="right"/>
              <w:rPr>
                <w:rFonts w:cs="Calibri"/>
                <w:color w:val="000000"/>
                <w:sz w:val="18"/>
                <w:szCs w:val="18"/>
              </w:rPr>
            </w:pPr>
          </w:p>
        </w:tc>
        <w:tc>
          <w:tcPr>
            <w:tcW w:w="1115" w:type="dxa"/>
            <w:tcBorders>
              <w:top w:val="nil"/>
              <w:left w:val="nil"/>
              <w:bottom w:val="nil"/>
              <w:right w:val="nil"/>
            </w:tcBorders>
            <w:vAlign w:val="center"/>
          </w:tcPr>
          <w:p w14:paraId="28C42316" w14:textId="77777777" w:rsidR="00F63659" w:rsidRDefault="00F63659" w:rsidP="00CC7A1D">
            <w:pPr>
              <w:autoSpaceDE w:val="0"/>
              <w:adjustRightInd w:val="0"/>
              <w:spacing w:after="0" w:line="240" w:lineRule="auto"/>
              <w:jc w:val="center"/>
              <w:rPr>
                <w:rFonts w:cs="Calibri"/>
                <w:color w:val="000000"/>
                <w:sz w:val="18"/>
                <w:szCs w:val="18"/>
              </w:rPr>
            </w:pPr>
            <w:r>
              <w:rPr>
                <w:rFonts w:cs="Calibri"/>
                <w:color w:val="000000"/>
                <w:sz w:val="18"/>
                <w:szCs w:val="18"/>
              </w:rPr>
              <w:t xml:space="preserve">      406,167</w:t>
            </w:r>
          </w:p>
        </w:tc>
        <w:tc>
          <w:tcPr>
            <w:tcW w:w="1147" w:type="dxa"/>
            <w:tcBorders>
              <w:top w:val="nil"/>
              <w:left w:val="nil"/>
              <w:bottom w:val="nil"/>
              <w:right w:val="nil"/>
            </w:tcBorders>
            <w:vAlign w:val="center"/>
          </w:tcPr>
          <w:p w14:paraId="0782C9CE" w14:textId="77777777" w:rsidR="00F63659" w:rsidRDefault="00F63659" w:rsidP="00CC7A1D">
            <w:pPr>
              <w:autoSpaceDE w:val="0"/>
              <w:adjustRightInd w:val="0"/>
              <w:spacing w:after="0" w:line="240" w:lineRule="auto"/>
              <w:jc w:val="center"/>
              <w:rPr>
                <w:rFonts w:cs="Calibri"/>
                <w:color w:val="000000"/>
                <w:sz w:val="18"/>
                <w:szCs w:val="18"/>
              </w:rPr>
            </w:pPr>
            <w:r>
              <w:rPr>
                <w:rFonts w:cs="Calibri"/>
                <w:color w:val="000000"/>
                <w:sz w:val="18"/>
                <w:szCs w:val="18"/>
              </w:rPr>
              <w:t xml:space="preserve">        54,500</w:t>
            </w:r>
          </w:p>
        </w:tc>
        <w:tc>
          <w:tcPr>
            <w:tcW w:w="320" w:type="dxa"/>
            <w:tcBorders>
              <w:top w:val="nil"/>
              <w:left w:val="nil"/>
              <w:bottom w:val="nil"/>
              <w:right w:val="nil"/>
            </w:tcBorders>
            <w:vAlign w:val="center"/>
          </w:tcPr>
          <w:p w14:paraId="3F8489E6" w14:textId="77777777" w:rsidR="00F63659" w:rsidRDefault="00F63659" w:rsidP="00CC7A1D">
            <w:pPr>
              <w:autoSpaceDE w:val="0"/>
              <w:adjustRightInd w:val="0"/>
              <w:spacing w:after="0" w:line="240" w:lineRule="auto"/>
              <w:jc w:val="right"/>
              <w:rPr>
                <w:rFonts w:cs="Calibri"/>
                <w:color w:val="000000"/>
                <w:sz w:val="18"/>
                <w:szCs w:val="18"/>
              </w:rPr>
            </w:pPr>
          </w:p>
        </w:tc>
      </w:tr>
      <w:tr w:rsidR="00F63659" w14:paraId="5086ED5E" w14:textId="77777777" w:rsidTr="00F63659">
        <w:trPr>
          <w:trHeight w:val="300"/>
        </w:trPr>
        <w:tc>
          <w:tcPr>
            <w:tcW w:w="4678" w:type="dxa"/>
            <w:tcBorders>
              <w:top w:val="nil"/>
              <w:left w:val="nil"/>
              <w:bottom w:val="nil"/>
              <w:right w:val="nil"/>
            </w:tcBorders>
            <w:vAlign w:val="center"/>
          </w:tcPr>
          <w:p w14:paraId="72196041" w14:textId="77777777" w:rsidR="00F63659" w:rsidRDefault="00F63659" w:rsidP="00CC7A1D">
            <w:pPr>
              <w:autoSpaceDE w:val="0"/>
              <w:adjustRightInd w:val="0"/>
              <w:spacing w:after="0" w:line="240" w:lineRule="auto"/>
              <w:rPr>
                <w:rFonts w:cs="Calibri"/>
                <w:color w:val="000000"/>
                <w:sz w:val="18"/>
                <w:szCs w:val="18"/>
              </w:rPr>
            </w:pPr>
            <w:r>
              <w:rPr>
                <w:rFonts w:cs="Calibri"/>
                <w:color w:val="000000"/>
                <w:sz w:val="18"/>
                <w:szCs w:val="18"/>
              </w:rPr>
              <w:t>Retained earnings</w:t>
            </w:r>
          </w:p>
        </w:tc>
        <w:tc>
          <w:tcPr>
            <w:tcW w:w="960" w:type="dxa"/>
            <w:tcBorders>
              <w:top w:val="nil"/>
              <w:left w:val="nil"/>
              <w:bottom w:val="nil"/>
              <w:right w:val="nil"/>
            </w:tcBorders>
            <w:vAlign w:val="center"/>
          </w:tcPr>
          <w:p w14:paraId="528E9BDE"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43FE700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131CE1B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560ADD4D"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79D8ADEF" w14:textId="77777777" w:rsidR="00F63659" w:rsidRDefault="00F63659" w:rsidP="00CC7A1D">
            <w:pPr>
              <w:autoSpaceDE w:val="0"/>
              <w:adjustRightInd w:val="0"/>
              <w:spacing w:after="0" w:line="240" w:lineRule="auto"/>
              <w:jc w:val="right"/>
              <w:rPr>
                <w:rFonts w:cs="Calibri"/>
                <w:color w:val="000000"/>
                <w:sz w:val="18"/>
                <w:szCs w:val="18"/>
              </w:rPr>
            </w:pPr>
          </w:p>
        </w:tc>
        <w:tc>
          <w:tcPr>
            <w:tcW w:w="236" w:type="dxa"/>
            <w:tcBorders>
              <w:top w:val="nil"/>
              <w:left w:val="nil"/>
              <w:bottom w:val="nil"/>
              <w:right w:val="nil"/>
            </w:tcBorders>
            <w:vAlign w:val="center"/>
          </w:tcPr>
          <w:p w14:paraId="0895974C" w14:textId="77777777" w:rsidR="00F63659" w:rsidRDefault="00F63659" w:rsidP="00CC7A1D">
            <w:pPr>
              <w:autoSpaceDE w:val="0"/>
              <w:adjustRightInd w:val="0"/>
              <w:spacing w:after="0" w:line="240" w:lineRule="auto"/>
              <w:jc w:val="right"/>
              <w:rPr>
                <w:rFonts w:cs="Calibri"/>
                <w:color w:val="000000"/>
                <w:sz w:val="18"/>
                <w:szCs w:val="18"/>
              </w:rPr>
            </w:pPr>
          </w:p>
        </w:tc>
        <w:tc>
          <w:tcPr>
            <w:tcW w:w="1115" w:type="dxa"/>
            <w:tcBorders>
              <w:top w:val="nil"/>
              <w:left w:val="nil"/>
              <w:bottom w:val="single" w:sz="4" w:space="0" w:color="auto"/>
              <w:right w:val="nil"/>
            </w:tcBorders>
            <w:vAlign w:val="center"/>
          </w:tcPr>
          <w:p w14:paraId="6DDA009E" w14:textId="77777777" w:rsidR="00F63659" w:rsidRDefault="00F63659" w:rsidP="00CC7A1D">
            <w:pPr>
              <w:autoSpaceDE w:val="0"/>
              <w:adjustRightInd w:val="0"/>
              <w:spacing w:after="0" w:line="240" w:lineRule="auto"/>
              <w:jc w:val="right"/>
              <w:rPr>
                <w:rFonts w:cs="Calibri"/>
                <w:color w:val="000000"/>
                <w:sz w:val="18"/>
                <w:szCs w:val="18"/>
              </w:rPr>
            </w:pPr>
            <w:r>
              <w:rPr>
                <w:rFonts w:cs="Calibri"/>
                <w:color w:val="000000"/>
                <w:sz w:val="18"/>
                <w:szCs w:val="18"/>
              </w:rPr>
              <w:t>(383,307)</w:t>
            </w:r>
          </w:p>
        </w:tc>
        <w:tc>
          <w:tcPr>
            <w:tcW w:w="1147" w:type="dxa"/>
            <w:tcBorders>
              <w:top w:val="nil"/>
              <w:left w:val="nil"/>
              <w:bottom w:val="single" w:sz="4" w:space="0" w:color="auto"/>
              <w:right w:val="nil"/>
            </w:tcBorders>
            <w:vAlign w:val="center"/>
          </w:tcPr>
          <w:p w14:paraId="5F56AE93" w14:textId="77777777" w:rsidR="00F63659" w:rsidRDefault="00F63659" w:rsidP="00CC7A1D">
            <w:pPr>
              <w:autoSpaceDE w:val="0"/>
              <w:adjustRightInd w:val="0"/>
              <w:spacing w:after="0" w:line="240" w:lineRule="auto"/>
              <w:jc w:val="right"/>
              <w:rPr>
                <w:rFonts w:cs="Calibri"/>
                <w:color w:val="000000"/>
                <w:sz w:val="18"/>
                <w:szCs w:val="18"/>
              </w:rPr>
            </w:pPr>
            <w:r>
              <w:rPr>
                <w:rFonts w:cs="Calibri"/>
                <w:color w:val="000000"/>
                <w:sz w:val="18"/>
                <w:szCs w:val="18"/>
              </w:rPr>
              <w:t>(175,695)</w:t>
            </w:r>
          </w:p>
        </w:tc>
        <w:tc>
          <w:tcPr>
            <w:tcW w:w="320" w:type="dxa"/>
            <w:tcBorders>
              <w:top w:val="nil"/>
              <w:left w:val="nil"/>
              <w:bottom w:val="nil"/>
              <w:right w:val="nil"/>
            </w:tcBorders>
            <w:vAlign w:val="center"/>
          </w:tcPr>
          <w:p w14:paraId="1B741CF0" w14:textId="77777777" w:rsidR="00F63659" w:rsidRDefault="00F63659" w:rsidP="00CC7A1D">
            <w:pPr>
              <w:autoSpaceDE w:val="0"/>
              <w:adjustRightInd w:val="0"/>
              <w:spacing w:after="0" w:line="240" w:lineRule="auto"/>
              <w:jc w:val="right"/>
              <w:rPr>
                <w:rFonts w:cs="Calibri"/>
                <w:color w:val="000000"/>
                <w:sz w:val="18"/>
                <w:szCs w:val="18"/>
              </w:rPr>
            </w:pPr>
          </w:p>
        </w:tc>
      </w:tr>
      <w:tr w:rsidR="00F63659" w14:paraId="7C7BAAD5" w14:textId="77777777" w:rsidTr="00F63659">
        <w:trPr>
          <w:trHeight w:val="300"/>
        </w:trPr>
        <w:tc>
          <w:tcPr>
            <w:tcW w:w="4678" w:type="dxa"/>
            <w:tcBorders>
              <w:top w:val="nil"/>
              <w:left w:val="nil"/>
              <w:bottom w:val="nil"/>
              <w:right w:val="nil"/>
            </w:tcBorders>
            <w:vAlign w:val="center"/>
          </w:tcPr>
          <w:p w14:paraId="634D023E" w14:textId="77777777" w:rsidR="00F63659" w:rsidRDefault="00F63659" w:rsidP="00CC7A1D">
            <w:pPr>
              <w:autoSpaceDE w:val="0"/>
              <w:adjustRightInd w:val="0"/>
              <w:spacing w:after="0" w:line="240" w:lineRule="auto"/>
              <w:rPr>
                <w:rFonts w:cs="Calibri"/>
                <w:b/>
                <w:bCs/>
                <w:color w:val="000000"/>
                <w:sz w:val="18"/>
                <w:szCs w:val="18"/>
              </w:rPr>
            </w:pPr>
            <w:r>
              <w:rPr>
                <w:rFonts w:cs="Calibri"/>
                <w:b/>
                <w:bCs/>
                <w:color w:val="000000"/>
                <w:sz w:val="18"/>
                <w:szCs w:val="18"/>
              </w:rPr>
              <w:t>Total equity</w:t>
            </w:r>
          </w:p>
        </w:tc>
        <w:tc>
          <w:tcPr>
            <w:tcW w:w="960" w:type="dxa"/>
            <w:tcBorders>
              <w:top w:val="nil"/>
              <w:left w:val="nil"/>
              <w:bottom w:val="nil"/>
              <w:right w:val="nil"/>
            </w:tcBorders>
            <w:vAlign w:val="center"/>
          </w:tcPr>
          <w:p w14:paraId="1C5BEF3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0DF52A5D"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1166DE4C"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326AB90A"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43498DA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77CBEB0C"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single" w:sz="4" w:space="0" w:color="auto"/>
              <w:left w:val="nil"/>
              <w:bottom w:val="single" w:sz="4" w:space="0" w:color="auto"/>
              <w:right w:val="nil"/>
            </w:tcBorders>
            <w:vAlign w:val="center"/>
          </w:tcPr>
          <w:p w14:paraId="65053214" w14:textId="77777777" w:rsidR="00F63659" w:rsidRDefault="00F63659" w:rsidP="00CC7A1D">
            <w:pPr>
              <w:autoSpaceDE w:val="0"/>
              <w:adjustRightInd w:val="0"/>
              <w:spacing w:after="0" w:line="240" w:lineRule="auto"/>
              <w:jc w:val="center"/>
              <w:rPr>
                <w:rFonts w:cs="Calibri"/>
                <w:b/>
                <w:bCs/>
                <w:color w:val="000000"/>
                <w:sz w:val="18"/>
                <w:szCs w:val="18"/>
              </w:rPr>
            </w:pPr>
            <w:r>
              <w:rPr>
                <w:rFonts w:cs="Calibri"/>
                <w:b/>
                <w:bCs/>
                <w:color w:val="000000"/>
                <w:sz w:val="18"/>
                <w:szCs w:val="18"/>
              </w:rPr>
              <w:t xml:space="preserve">     343,360</w:t>
            </w:r>
          </w:p>
        </w:tc>
        <w:tc>
          <w:tcPr>
            <w:tcW w:w="1147" w:type="dxa"/>
            <w:tcBorders>
              <w:top w:val="single" w:sz="4" w:space="0" w:color="auto"/>
              <w:left w:val="nil"/>
              <w:bottom w:val="single" w:sz="4" w:space="0" w:color="auto"/>
              <w:right w:val="nil"/>
            </w:tcBorders>
            <w:vAlign w:val="center"/>
          </w:tcPr>
          <w:p w14:paraId="135F19E3" w14:textId="77777777" w:rsidR="00F63659" w:rsidRDefault="00F63659" w:rsidP="00CC7A1D">
            <w:pPr>
              <w:autoSpaceDE w:val="0"/>
              <w:adjustRightInd w:val="0"/>
              <w:spacing w:after="0" w:line="240" w:lineRule="auto"/>
              <w:jc w:val="center"/>
              <w:rPr>
                <w:rFonts w:cs="Calibri"/>
                <w:b/>
                <w:bCs/>
                <w:color w:val="000000"/>
                <w:sz w:val="18"/>
                <w:szCs w:val="18"/>
              </w:rPr>
            </w:pPr>
            <w:r>
              <w:rPr>
                <w:rFonts w:cs="Calibri"/>
                <w:b/>
                <w:bCs/>
                <w:color w:val="000000"/>
                <w:sz w:val="18"/>
                <w:szCs w:val="18"/>
              </w:rPr>
              <w:t xml:space="preserve">        24,305</w:t>
            </w:r>
          </w:p>
        </w:tc>
        <w:tc>
          <w:tcPr>
            <w:tcW w:w="320" w:type="dxa"/>
            <w:tcBorders>
              <w:top w:val="nil"/>
              <w:left w:val="nil"/>
              <w:bottom w:val="nil"/>
              <w:right w:val="nil"/>
            </w:tcBorders>
            <w:vAlign w:val="center"/>
          </w:tcPr>
          <w:p w14:paraId="4270CD2A"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2A0B6A39" w14:textId="77777777" w:rsidTr="00F63659">
        <w:trPr>
          <w:trHeight w:val="300"/>
        </w:trPr>
        <w:tc>
          <w:tcPr>
            <w:tcW w:w="4678" w:type="dxa"/>
            <w:tcBorders>
              <w:top w:val="nil"/>
              <w:left w:val="nil"/>
              <w:bottom w:val="nil"/>
              <w:right w:val="nil"/>
            </w:tcBorders>
            <w:vAlign w:val="center"/>
          </w:tcPr>
          <w:p w14:paraId="2F55A0C5" w14:textId="77777777" w:rsidR="00F63659" w:rsidRDefault="00F63659" w:rsidP="00CC7A1D">
            <w:pPr>
              <w:autoSpaceDE w:val="0"/>
              <w:adjustRightInd w:val="0"/>
              <w:spacing w:after="0" w:line="240" w:lineRule="auto"/>
              <w:rPr>
                <w:rFonts w:cs="Calibri"/>
                <w:color w:val="000000"/>
                <w:sz w:val="18"/>
                <w:szCs w:val="18"/>
              </w:rPr>
            </w:pPr>
            <w:r>
              <w:rPr>
                <w:rFonts w:cs="Calibri"/>
                <w:b/>
                <w:bCs/>
                <w:color w:val="000000"/>
                <w:sz w:val="18"/>
                <w:szCs w:val="18"/>
              </w:rPr>
              <w:t>LIABILITIES</w:t>
            </w:r>
          </w:p>
        </w:tc>
        <w:tc>
          <w:tcPr>
            <w:tcW w:w="960" w:type="dxa"/>
            <w:tcBorders>
              <w:top w:val="nil"/>
              <w:left w:val="nil"/>
              <w:bottom w:val="nil"/>
              <w:right w:val="nil"/>
            </w:tcBorders>
            <w:vAlign w:val="center"/>
          </w:tcPr>
          <w:p w14:paraId="030574EB"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03631C9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0C4B74D8"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45CE333D"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12907F4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4C6EE09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single" w:sz="4" w:space="0" w:color="auto"/>
              <w:left w:val="nil"/>
              <w:bottom w:val="nil"/>
              <w:right w:val="nil"/>
            </w:tcBorders>
            <w:vAlign w:val="center"/>
          </w:tcPr>
          <w:p w14:paraId="54AAE3FC"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47" w:type="dxa"/>
            <w:tcBorders>
              <w:top w:val="single" w:sz="4" w:space="0" w:color="auto"/>
              <w:left w:val="nil"/>
              <w:bottom w:val="nil"/>
              <w:right w:val="nil"/>
            </w:tcBorders>
            <w:vAlign w:val="center"/>
          </w:tcPr>
          <w:p w14:paraId="3AF9204D"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20" w:type="dxa"/>
            <w:tcBorders>
              <w:top w:val="nil"/>
              <w:left w:val="nil"/>
              <w:bottom w:val="nil"/>
              <w:right w:val="nil"/>
            </w:tcBorders>
            <w:vAlign w:val="center"/>
          </w:tcPr>
          <w:p w14:paraId="0258F714"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3C3BF7AA" w14:textId="77777777" w:rsidTr="00F63659">
        <w:trPr>
          <w:trHeight w:val="300"/>
        </w:trPr>
        <w:tc>
          <w:tcPr>
            <w:tcW w:w="4678" w:type="dxa"/>
            <w:tcBorders>
              <w:top w:val="nil"/>
              <w:left w:val="nil"/>
              <w:bottom w:val="nil"/>
              <w:right w:val="nil"/>
            </w:tcBorders>
            <w:vAlign w:val="center"/>
          </w:tcPr>
          <w:p w14:paraId="12F6C9C7" w14:textId="77777777" w:rsidR="00F63659" w:rsidRDefault="00F63659" w:rsidP="00CC7A1D">
            <w:pPr>
              <w:autoSpaceDE w:val="0"/>
              <w:adjustRightInd w:val="0"/>
              <w:spacing w:after="0" w:line="240" w:lineRule="auto"/>
              <w:rPr>
                <w:rFonts w:cs="Calibri"/>
                <w:b/>
                <w:bCs/>
                <w:color w:val="000000"/>
                <w:sz w:val="18"/>
                <w:szCs w:val="18"/>
              </w:rPr>
            </w:pPr>
            <w:r>
              <w:rPr>
                <w:rFonts w:cs="Calibri"/>
                <w:b/>
                <w:bCs/>
                <w:color w:val="000000"/>
                <w:sz w:val="18"/>
                <w:szCs w:val="18"/>
              </w:rPr>
              <w:t>Current liabilities</w:t>
            </w:r>
          </w:p>
        </w:tc>
        <w:tc>
          <w:tcPr>
            <w:tcW w:w="960" w:type="dxa"/>
            <w:tcBorders>
              <w:top w:val="nil"/>
              <w:left w:val="nil"/>
              <w:bottom w:val="nil"/>
              <w:right w:val="nil"/>
            </w:tcBorders>
            <w:vAlign w:val="center"/>
          </w:tcPr>
          <w:p w14:paraId="20A7A33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5A2C8F14"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7A79CAE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D69FB8D"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55E41EF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B850CA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single" w:sz="4" w:space="0" w:color="auto"/>
              <w:left w:val="nil"/>
              <w:bottom w:val="nil"/>
              <w:right w:val="nil"/>
            </w:tcBorders>
            <w:vAlign w:val="center"/>
          </w:tcPr>
          <w:p w14:paraId="2A422B9F"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47" w:type="dxa"/>
            <w:tcBorders>
              <w:top w:val="single" w:sz="4" w:space="0" w:color="auto"/>
              <w:left w:val="nil"/>
              <w:bottom w:val="nil"/>
              <w:right w:val="nil"/>
            </w:tcBorders>
            <w:vAlign w:val="center"/>
          </w:tcPr>
          <w:p w14:paraId="47902FE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20" w:type="dxa"/>
            <w:tcBorders>
              <w:top w:val="nil"/>
              <w:left w:val="nil"/>
              <w:bottom w:val="nil"/>
              <w:right w:val="nil"/>
            </w:tcBorders>
            <w:vAlign w:val="center"/>
          </w:tcPr>
          <w:p w14:paraId="018A9327"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21EDB957" w14:textId="77777777" w:rsidTr="00F63659">
        <w:trPr>
          <w:trHeight w:val="300"/>
        </w:trPr>
        <w:tc>
          <w:tcPr>
            <w:tcW w:w="4678" w:type="dxa"/>
            <w:tcBorders>
              <w:top w:val="nil"/>
              <w:left w:val="nil"/>
              <w:bottom w:val="nil"/>
              <w:right w:val="nil"/>
            </w:tcBorders>
            <w:vAlign w:val="center"/>
          </w:tcPr>
          <w:p w14:paraId="63990CF3" w14:textId="77777777" w:rsidR="00F63659" w:rsidRDefault="00F63659" w:rsidP="00CC7A1D">
            <w:pPr>
              <w:autoSpaceDE w:val="0"/>
              <w:adjustRightInd w:val="0"/>
              <w:spacing w:after="0" w:line="240" w:lineRule="auto"/>
              <w:rPr>
                <w:rFonts w:cs="Calibri"/>
                <w:color w:val="000000"/>
                <w:sz w:val="18"/>
                <w:szCs w:val="18"/>
              </w:rPr>
            </w:pPr>
            <w:r>
              <w:rPr>
                <w:rFonts w:cs="Calibri"/>
                <w:color w:val="000000"/>
                <w:sz w:val="18"/>
                <w:szCs w:val="18"/>
              </w:rPr>
              <w:t>Trade and other payables</w:t>
            </w:r>
          </w:p>
        </w:tc>
        <w:tc>
          <w:tcPr>
            <w:tcW w:w="960" w:type="dxa"/>
            <w:tcBorders>
              <w:top w:val="nil"/>
              <w:left w:val="nil"/>
              <w:bottom w:val="nil"/>
              <w:right w:val="nil"/>
            </w:tcBorders>
            <w:vAlign w:val="center"/>
          </w:tcPr>
          <w:p w14:paraId="0192A391"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7199AA9E"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F33716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6392412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7CD9581D"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7</w:t>
            </w:r>
          </w:p>
        </w:tc>
        <w:tc>
          <w:tcPr>
            <w:tcW w:w="236" w:type="dxa"/>
            <w:tcBorders>
              <w:top w:val="nil"/>
              <w:left w:val="nil"/>
              <w:bottom w:val="nil"/>
              <w:right w:val="nil"/>
            </w:tcBorders>
            <w:vAlign w:val="center"/>
          </w:tcPr>
          <w:p w14:paraId="39165B8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nil"/>
              <w:left w:val="nil"/>
              <w:bottom w:val="nil"/>
              <w:right w:val="nil"/>
            </w:tcBorders>
            <w:vAlign w:val="center"/>
          </w:tcPr>
          <w:p w14:paraId="29C221C9" w14:textId="77777777" w:rsidR="00F63659" w:rsidRDefault="00F63659" w:rsidP="00CC7A1D">
            <w:pPr>
              <w:autoSpaceDE w:val="0"/>
              <w:adjustRightInd w:val="0"/>
              <w:spacing w:after="0" w:line="240" w:lineRule="auto"/>
              <w:jc w:val="right"/>
              <w:rPr>
                <w:rFonts w:cs="Calibri"/>
                <w:color w:val="000000"/>
                <w:sz w:val="18"/>
                <w:szCs w:val="18"/>
              </w:rPr>
            </w:pPr>
            <w:r>
              <w:rPr>
                <w:rFonts w:cs="Calibri"/>
                <w:color w:val="000000"/>
                <w:sz w:val="18"/>
                <w:szCs w:val="18"/>
              </w:rPr>
              <w:t xml:space="preserve">       35,014</w:t>
            </w:r>
          </w:p>
        </w:tc>
        <w:tc>
          <w:tcPr>
            <w:tcW w:w="1147" w:type="dxa"/>
            <w:tcBorders>
              <w:top w:val="nil"/>
              <w:left w:val="nil"/>
              <w:bottom w:val="nil"/>
              <w:right w:val="nil"/>
            </w:tcBorders>
            <w:vAlign w:val="center"/>
          </w:tcPr>
          <w:p w14:paraId="1796EA66" w14:textId="77777777" w:rsidR="00F63659" w:rsidRDefault="00F63659" w:rsidP="00CC7A1D">
            <w:pPr>
              <w:autoSpaceDE w:val="0"/>
              <w:adjustRightInd w:val="0"/>
              <w:spacing w:after="0" w:line="240" w:lineRule="auto"/>
              <w:jc w:val="right"/>
              <w:rPr>
                <w:rFonts w:cs="Calibri"/>
                <w:color w:val="000000"/>
                <w:sz w:val="18"/>
                <w:szCs w:val="18"/>
              </w:rPr>
            </w:pPr>
            <w:r>
              <w:rPr>
                <w:rFonts w:cs="Calibri"/>
                <w:color w:val="000000"/>
                <w:sz w:val="18"/>
                <w:szCs w:val="18"/>
              </w:rPr>
              <w:t xml:space="preserve">        38,268</w:t>
            </w:r>
          </w:p>
        </w:tc>
        <w:tc>
          <w:tcPr>
            <w:tcW w:w="320" w:type="dxa"/>
            <w:tcBorders>
              <w:top w:val="nil"/>
              <w:left w:val="nil"/>
              <w:bottom w:val="nil"/>
              <w:right w:val="nil"/>
            </w:tcBorders>
            <w:vAlign w:val="center"/>
          </w:tcPr>
          <w:p w14:paraId="13AAFE62"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3A975A03" w14:textId="77777777" w:rsidTr="00F63659">
        <w:trPr>
          <w:trHeight w:val="300"/>
        </w:trPr>
        <w:tc>
          <w:tcPr>
            <w:tcW w:w="4678" w:type="dxa"/>
            <w:tcBorders>
              <w:top w:val="nil"/>
              <w:left w:val="nil"/>
              <w:bottom w:val="nil"/>
              <w:right w:val="nil"/>
            </w:tcBorders>
            <w:vAlign w:val="center"/>
          </w:tcPr>
          <w:p w14:paraId="37EBF9E0" w14:textId="77777777" w:rsidR="00F63659" w:rsidRDefault="00F63659" w:rsidP="00CC7A1D">
            <w:pPr>
              <w:autoSpaceDE w:val="0"/>
              <w:adjustRightInd w:val="0"/>
              <w:spacing w:after="0" w:line="240" w:lineRule="auto"/>
              <w:rPr>
                <w:rFonts w:cs="Calibri"/>
                <w:b/>
                <w:bCs/>
                <w:color w:val="000000"/>
                <w:sz w:val="18"/>
                <w:szCs w:val="18"/>
              </w:rPr>
            </w:pPr>
            <w:r>
              <w:rPr>
                <w:rFonts w:cs="Calibri"/>
                <w:color w:val="000000"/>
                <w:sz w:val="18"/>
                <w:szCs w:val="18"/>
              </w:rPr>
              <w:t>Borrowings</w:t>
            </w:r>
          </w:p>
        </w:tc>
        <w:tc>
          <w:tcPr>
            <w:tcW w:w="960" w:type="dxa"/>
            <w:tcBorders>
              <w:top w:val="nil"/>
              <w:left w:val="nil"/>
              <w:bottom w:val="nil"/>
              <w:right w:val="nil"/>
            </w:tcBorders>
            <w:vAlign w:val="center"/>
          </w:tcPr>
          <w:p w14:paraId="72DDD3D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431524FE"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1D38F32D"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CD5C31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1FAA169C"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8</w:t>
            </w:r>
          </w:p>
        </w:tc>
        <w:tc>
          <w:tcPr>
            <w:tcW w:w="236" w:type="dxa"/>
            <w:tcBorders>
              <w:top w:val="nil"/>
              <w:left w:val="nil"/>
              <w:bottom w:val="nil"/>
              <w:right w:val="nil"/>
            </w:tcBorders>
            <w:vAlign w:val="center"/>
          </w:tcPr>
          <w:p w14:paraId="5B321C9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nil"/>
              <w:left w:val="nil"/>
              <w:bottom w:val="single" w:sz="4" w:space="0" w:color="auto"/>
              <w:right w:val="nil"/>
            </w:tcBorders>
            <w:vAlign w:val="center"/>
          </w:tcPr>
          <w:p w14:paraId="2C7E9B80"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color w:val="000000"/>
                <w:sz w:val="18"/>
                <w:szCs w:val="18"/>
              </w:rPr>
              <w:t>10,469</w:t>
            </w:r>
          </w:p>
        </w:tc>
        <w:tc>
          <w:tcPr>
            <w:tcW w:w="1147" w:type="dxa"/>
            <w:tcBorders>
              <w:top w:val="nil"/>
              <w:left w:val="nil"/>
              <w:bottom w:val="single" w:sz="4" w:space="0" w:color="auto"/>
              <w:right w:val="nil"/>
            </w:tcBorders>
            <w:vAlign w:val="center"/>
          </w:tcPr>
          <w:p w14:paraId="10205984"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color w:val="000000"/>
                <w:sz w:val="18"/>
                <w:szCs w:val="18"/>
              </w:rPr>
              <w:t>-</w:t>
            </w:r>
          </w:p>
        </w:tc>
        <w:tc>
          <w:tcPr>
            <w:tcW w:w="320" w:type="dxa"/>
            <w:tcBorders>
              <w:top w:val="nil"/>
              <w:left w:val="nil"/>
              <w:bottom w:val="nil"/>
              <w:right w:val="nil"/>
            </w:tcBorders>
            <w:vAlign w:val="center"/>
          </w:tcPr>
          <w:p w14:paraId="4416D287"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0AE71E2D" w14:textId="77777777" w:rsidTr="00F63659">
        <w:trPr>
          <w:trHeight w:val="300"/>
        </w:trPr>
        <w:tc>
          <w:tcPr>
            <w:tcW w:w="4678" w:type="dxa"/>
            <w:tcBorders>
              <w:top w:val="nil"/>
              <w:left w:val="nil"/>
              <w:bottom w:val="nil"/>
              <w:right w:val="nil"/>
            </w:tcBorders>
            <w:vAlign w:val="center"/>
          </w:tcPr>
          <w:p w14:paraId="5B64FE2E" w14:textId="77777777" w:rsidR="00F63659" w:rsidRDefault="00F63659" w:rsidP="00CC7A1D">
            <w:pPr>
              <w:autoSpaceDE w:val="0"/>
              <w:adjustRightInd w:val="0"/>
              <w:spacing w:after="0" w:line="240" w:lineRule="auto"/>
              <w:rPr>
                <w:rFonts w:cs="Calibri"/>
                <w:b/>
                <w:bCs/>
                <w:color w:val="000000"/>
                <w:sz w:val="18"/>
                <w:szCs w:val="18"/>
              </w:rPr>
            </w:pPr>
            <w:r>
              <w:rPr>
                <w:rFonts w:cs="Calibri"/>
                <w:b/>
                <w:bCs/>
                <w:color w:val="000000"/>
                <w:sz w:val="18"/>
                <w:szCs w:val="18"/>
              </w:rPr>
              <w:t>Total current liabilities</w:t>
            </w:r>
          </w:p>
        </w:tc>
        <w:tc>
          <w:tcPr>
            <w:tcW w:w="960" w:type="dxa"/>
            <w:tcBorders>
              <w:top w:val="nil"/>
              <w:left w:val="nil"/>
              <w:bottom w:val="nil"/>
              <w:right w:val="nil"/>
            </w:tcBorders>
            <w:vAlign w:val="center"/>
          </w:tcPr>
          <w:p w14:paraId="4C78036D"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332848D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B7F043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42D1C750"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04D82248"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72A7CBF1"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nil"/>
              <w:left w:val="nil"/>
              <w:bottom w:val="single" w:sz="4" w:space="0" w:color="auto"/>
              <w:right w:val="nil"/>
            </w:tcBorders>
            <w:vAlign w:val="center"/>
          </w:tcPr>
          <w:p w14:paraId="2A47C7B3"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45,483</w:t>
            </w:r>
          </w:p>
        </w:tc>
        <w:tc>
          <w:tcPr>
            <w:tcW w:w="1147" w:type="dxa"/>
            <w:tcBorders>
              <w:top w:val="nil"/>
              <w:left w:val="nil"/>
              <w:bottom w:val="single" w:sz="4" w:space="0" w:color="auto"/>
              <w:right w:val="nil"/>
            </w:tcBorders>
            <w:vAlign w:val="center"/>
          </w:tcPr>
          <w:p w14:paraId="1EC4EE47"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 xml:space="preserve">        38,268</w:t>
            </w:r>
          </w:p>
        </w:tc>
        <w:tc>
          <w:tcPr>
            <w:tcW w:w="320" w:type="dxa"/>
            <w:tcBorders>
              <w:top w:val="nil"/>
              <w:left w:val="nil"/>
              <w:bottom w:val="nil"/>
              <w:right w:val="nil"/>
            </w:tcBorders>
            <w:vAlign w:val="center"/>
          </w:tcPr>
          <w:p w14:paraId="03F5E1E1" w14:textId="77777777" w:rsidR="00F63659" w:rsidRDefault="00F63659" w:rsidP="00CC7A1D">
            <w:pPr>
              <w:autoSpaceDE w:val="0"/>
              <w:adjustRightInd w:val="0"/>
              <w:spacing w:after="0" w:line="240" w:lineRule="auto"/>
              <w:jc w:val="right"/>
              <w:rPr>
                <w:rFonts w:cs="Calibri"/>
                <w:b/>
                <w:bCs/>
                <w:color w:val="000000"/>
                <w:sz w:val="18"/>
                <w:szCs w:val="18"/>
              </w:rPr>
            </w:pPr>
          </w:p>
        </w:tc>
      </w:tr>
      <w:tr w:rsidR="00F63659" w14:paraId="0CA037CA" w14:textId="77777777" w:rsidTr="00F63659">
        <w:trPr>
          <w:trHeight w:val="300"/>
        </w:trPr>
        <w:tc>
          <w:tcPr>
            <w:tcW w:w="4678" w:type="dxa"/>
            <w:tcBorders>
              <w:top w:val="nil"/>
              <w:left w:val="nil"/>
              <w:bottom w:val="nil"/>
              <w:right w:val="nil"/>
            </w:tcBorders>
            <w:vAlign w:val="center"/>
          </w:tcPr>
          <w:p w14:paraId="5F7D68FB" w14:textId="77777777" w:rsidR="00F63659" w:rsidRDefault="00F63659" w:rsidP="00CC7A1D">
            <w:pPr>
              <w:autoSpaceDE w:val="0"/>
              <w:adjustRightInd w:val="0"/>
              <w:spacing w:after="0" w:line="240" w:lineRule="auto"/>
              <w:rPr>
                <w:rFonts w:cs="Calibri"/>
                <w:color w:val="000000"/>
                <w:sz w:val="18"/>
                <w:szCs w:val="18"/>
              </w:rPr>
            </w:pPr>
          </w:p>
        </w:tc>
        <w:tc>
          <w:tcPr>
            <w:tcW w:w="960" w:type="dxa"/>
            <w:tcBorders>
              <w:top w:val="nil"/>
              <w:left w:val="nil"/>
              <w:bottom w:val="nil"/>
              <w:right w:val="nil"/>
            </w:tcBorders>
            <w:vAlign w:val="center"/>
          </w:tcPr>
          <w:p w14:paraId="69314DB5"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237F0181"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5A698927"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1DBF8E7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58C910EB"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349AEF39" w14:textId="77777777" w:rsidR="00F63659" w:rsidRDefault="00F63659" w:rsidP="00CC7A1D">
            <w:pPr>
              <w:autoSpaceDE w:val="0"/>
              <w:adjustRightInd w:val="0"/>
              <w:spacing w:after="0" w:line="240" w:lineRule="auto"/>
              <w:jc w:val="right"/>
              <w:rPr>
                <w:rFonts w:cs="Calibri"/>
                <w:color w:val="000000"/>
                <w:sz w:val="18"/>
                <w:szCs w:val="18"/>
              </w:rPr>
            </w:pPr>
          </w:p>
        </w:tc>
        <w:tc>
          <w:tcPr>
            <w:tcW w:w="1115" w:type="dxa"/>
            <w:tcBorders>
              <w:top w:val="nil"/>
              <w:left w:val="nil"/>
              <w:bottom w:val="single" w:sz="4" w:space="0" w:color="auto"/>
              <w:right w:val="nil"/>
            </w:tcBorders>
            <w:vAlign w:val="center"/>
          </w:tcPr>
          <w:p w14:paraId="36D82E1B" w14:textId="77777777" w:rsidR="00F63659" w:rsidRDefault="00F63659" w:rsidP="00CC7A1D">
            <w:pPr>
              <w:autoSpaceDE w:val="0"/>
              <w:adjustRightInd w:val="0"/>
              <w:spacing w:after="0" w:line="240" w:lineRule="auto"/>
              <w:jc w:val="right"/>
              <w:rPr>
                <w:rFonts w:cs="Calibri"/>
                <w:color w:val="000000"/>
                <w:sz w:val="18"/>
                <w:szCs w:val="18"/>
              </w:rPr>
            </w:pPr>
          </w:p>
        </w:tc>
        <w:tc>
          <w:tcPr>
            <w:tcW w:w="1147" w:type="dxa"/>
            <w:tcBorders>
              <w:top w:val="nil"/>
              <w:left w:val="nil"/>
              <w:bottom w:val="single" w:sz="4" w:space="0" w:color="auto"/>
              <w:right w:val="nil"/>
            </w:tcBorders>
            <w:vAlign w:val="center"/>
          </w:tcPr>
          <w:p w14:paraId="1E6D97D4" w14:textId="77777777" w:rsidR="00F63659" w:rsidRDefault="00F63659" w:rsidP="00CC7A1D">
            <w:pPr>
              <w:autoSpaceDE w:val="0"/>
              <w:adjustRightInd w:val="0"/>
              <w:spacing w:after="0" w:line="240" w:lineRule="auto"/>
              <w:jc w:val="right"/>
              <w:rPr>
                <w:rFonts w:cs="Calibri"/>
                <w:color w:val="000000"/>
                <w:sz w:val="18"/>
                <w:szCs w:val="18"/>
              </w:rPr>
            </w:pPr>
          </w:p>
        </w:tc>
        <w:tc>
          <w:tcPr>
            <w:tcW w:w="320" w:type="dxa"/>
            <w:tcBorders>
              <w:top w:val="nil"/>
              <w:left w:val="nil"/>
              <w:bottom w:val="nil"/>
              <w:right w:val="nil"/>
            </w:tcBorders>
            <w:vAlign w:val="center"/>
          </w:tcPr>
          <w:p w14:paraId="6D666792" w14:textId="77777777" w:rsidR="00F63659" w:rsidRDefault="00F63659" w:rsidP="00CC7A1D">
            <w:pPr>
              <w:autoSpaceDE w:val="0"/>
              <w:adjustRightInd w:val="0"/>
              <w:spacing w:after="0" w:line="240" w:lineRule="auto"/>
              <w:jc w:val="right"/>
              <w:rPr>
                <w:rFonts w:cs="Calibri"/>
                <w:color w:val="000000"/>
                <w:sz w:val="18"/>
                <w:szCs w:val="18"/>
              </w:rPr>
            </w:pPr>
          </w:p>
        </w:tc>
      </w:tr>
      <w:tr w:rsidR="00F63659" w14:paraId="64CB6882" w14:textId="77777777" w:rsidTr="00F63659">
        <w:trPr>
          <w:trHeight w:val="300"/>
        </w:trPr>
        <w:tc>
          <w:tcPr>
            <w:tcW w:w="4678" w:type="dxa"/>
            <w:tcBorders>
              <w:top w:val="nil"/>
              <w:left w:val="nil"/>
              <w:bottom w:val="nil"/>
              <w:right w:val="nil"/>
            </w:tcBorders>
            <w:vAlign w:val="center"/>
          </w:tcPr>
          <w:p w14:paraId="7988FBA6" w14:textId="77777777" w:rsidR="00F63659" w:rsidRDefault="00F63659" w:rsidP="00CC7A1D">
            <w:pPr>
              <w:autoSpaceDE w:val="0"/>
              <w:adjustRightInd w:val="0"/>
              <w:spacing w:after="0" w:line="240" w:lineRule="auto"/>
              <w:rPr>
                <w:rFonts w:cs="Calibri"/>
                <w:color w:val="000000"/>
                <w:sz w:val="18"/>
                <w:szCs w:val="18"/>
              </w:rPr>
            </w:pPr>
            <w:r>
              <w:rPr>
                <w:rFonts w:cs="Calibri"/>
                <w:b/>
                <w:bCs/>
                <w:color w:val="000000"/>
                <w:sz w:val="18"/>
                <w:szCs w:val="18"/>
              </w:rPr>
              <w:t>Total liabilities</w:t>
            </w:r>
          </w:p>
        </w:tc>
        <w:tc>
          <w:tcPr>
            <w:tcW w:w="960" w:type="dxa"/>
            <w:tcBorders>
              <w:top w:val="nil"/>
              <w:left w:val="nil"/>
              <w:bottom w:val="nil"/>
              <w:right w:val="nil"/>
            </w:tcBorders>
            <w:vAlign w:val="center"/>
          </w:tcPr>
          <w:p w14:paraId="172B032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6824756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59B833BA"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0AA53B78"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7FE7165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5F515788" w14:textId="77777777" w:rsidR="00F63659" w:rsidRDefault="00F63659" w:rsidP="00CC7A1D">
            <w:pPr>
              <w:autoSpaceDE w:val="0"/>
              <w:adjustRightInd w:val="0"/>
              <w:spacing w:after="0" w:line="240" w:lineRule="auto"/>
              <w:jc w:val="right"/>
              <w:rPr>
                <w:rFonts w:cs="Calibri"/>
                <w:color w:val="000000"/>
                <w:sz w:val="18"/>
                <w:szCs w:val="18"/>
              </w:rPr>
            </w:pPr>
          </w:p>
        </w:tc>
        <w:tc>
          <w:tcPr>
            <w:tcW w:w="1115" w:type="dxa"/>
            <w:tcBorders>
              <w:top w:val="single" w:sz="4" w:space="0" w:color="auto"/>
              <w:left w:val="nil"/>
              <w:bottom w:val="nil"/>
              <w:right w:val="nil"/>
            </w:tcBorders>
            <w:vAlign w:val="center"/>
          </w:tcPr>
          <w:p w14:paraId="4E97D858" w14:textId="77777777" w:rsidR="00F63659" w:rsidRDefault="00F63659" w:rsidP="00CC7A1D">
            <w:pPr>
              <w:autoSpaceDE w:val="0"/>
              <w:adjustRightInd w:val="0"/>
              <w:spacing w:after="0" w:line="240" w:lineRule="auto"/>
              <w:jc w:val="right"/>
              <w:rPr>
                <w:rFonts w:cs="Calibri"/>
                <w:color w:val="000000"/>
                <w:sz w:val="18"/>
                <w:szCs w:val="18"/>
              </w:rPr>
            </w:pPr>
            <w:r>
              <w:rPr>
                <w:rFonts w:cs="Calibri"/>
                <w:b/>
                <w:bCs/>
                <w:color w:val="000000"/>
                <w:sz w:val="18"/>
                <w:szCs w:val="18"/>
              </w:rPr>
              <w:t xml:space="preserve">       45,483</w:t>
            </w:r>
          </w:p>
        </w:tc>
        <w:tc>
          <w:tcPr>
            <w:tcW w:w="1147" w:type="dxa"/>
            <w:tcBorders>
              <w:top w:val="single" w:sz="4" w:space="0" w:color="auto"/>
              <w:left w:val="nil"/>
              <w:bottom w:val="nil"/>
              <w:right w:val="nil"/>
            </w:tcBorders>
            <w:vAlign w:val="center"/>
          </w:tcPr>
          <w:p w14:paraId="32537CF0" w14:textId="77777777" w:rsidR="00F63659" w:rsidRDefault="00F63659" w:rsidP="00CC7A1D">
            <w:pPr>
              <w:autoSpaceDE w:val="0"/>
              <w:adjustRightInd w:val="0"/>
              <w:spacing w:after="0" w:line="240" w:lineRule="auto"/>
              <w:jc w:val="right"/>
              <w:rPr>
                <w:rFonts w:cs="Calibri"/>
                <w:color w:val="000000"/>
                <w:sz w:val="18"/>
                <w:szCs w:val="18"/>
              </w:rPr>
            </w:pPr>
            <w:r>
              <w:rPr>
                <w:rFonts w:cs="Calibri"/>
                <w:b/>
                <w:bCs/>
                <w:color w:val="000000"/>
                <w:sz w:val="18"/>
                <w:szCs w:val="18"/>
              </w:rPr>
              <w:t xml:space="preserve">        38,268</w:t>
            </w:r>
          </w:p>
        </w:tc>
        <w:tc>
          <w:tcPr>
            <w:tcW w:w="320" w:type="dxa"/>
            <w:tcBorders>
              <w:top w:val="nil"/>
              <w:left w:val="nil"/>
              <w:bottom w:val="nil"/>
              <w:right w:val="nil"/>
            </w:tcBorders>
            <w:vAlign w:val="center"/>
          </w:tcPr>
          <w:p w14:paraId="47ECDC47" w14:textId="77777777" w:rsidR="00F63659" w:rsidRDefault="00F63659" w:rsidP="00CC7A1D">
            <w:pPr>
              <w:autoSpaceDE w:val="0"/>
              <w:adjustRightInd w:val="0"/>
              <w:spacing w:after="0" w:line="240" w:lineRule="auto"/>
              <w:jc w:val="right"/>
              <w:rPr>
                <w:rFonts w:cs="Calibri"/>
                <w:color w:val="000000"/>
                <w:sz w:val="18"/>
                <w:szCs w:val="18"/>
              </w:rPr>
            </w:pPr>
          </w:p>
        </w:tc>
      </w:tr>
      <w:tr w:rsidR="00F63659" w14:paraId="00C67A03" w14:textId="77777777" w:rsidTr="00F63659">
        <w:trPr>
          <w:trHeight w:val="300"/>
        </w:trPr>
        <w:tc>
          <w:tcPr>
            <w:tcW w:w="4678" w:type="dxa"/>
            <w:tcBorders>
              <w:top w:val="nil"/>
              <w:left w:val="nil"/>
              <w:bottom w:val="nil"/>
              <w:right w:val="nil"/>
            </w:tcBorders>
            <w:vAlign w:val="center"/>
          </w:tcPr>
          <w:p w14:paraId="6A751F76" w14:textId="77777777" w:rsidR="00F63659" w:rsidRDefault="00F63659" w:rsidP="00CC7A1D">
            <w:pPr>
              <w:autoSpaceDE w:val="0"/>
              <w:adjustRightInd w:val="0"/>
              <w:spacing w:after="0" w:line="240" w:lineRule="auto"/>
              <w:rPr>
                <w:rFonts w:cs="Calibri"/>
                <w:b/>
                <w:bCs/>
                <w:color w:val="000000"/>
                <w:sz w:val="18"/>
                <w:szCs w:val="18"/>
              </w:rPr>
            </w:pPr>
            <w:r>
              <w:rPr>
                <w:rFonts w:cs="Calibri"/>
                <w:b/>
                <w:bCs/>
                <w:color w:val="000000"/>
                <w:sz w:val="18"/>
                <w:szCs w:val="18"/>
              </w:rPr>
              <w:t>TOTAL EQUITY AND LIABILITIES</w:t>
            </w:r>
          </w:p>
        </w:tc>
        <w:tc>
          <w:tcPr>
            <w:tcW w:w="960" w:type="dxa"/>
            <w:tcBorders>
              <w:top w:val="nil"/>
              <w:left w:val="nil"/>
              <w:bottom w:val="nil"/>
              <w:right w:val="nil"/>
            </w:tcBorders>
            <w:vAlign w:val="center"/>
          </w:tcPr>
          <w:p w14:paraId="2A44E2B6"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2FBA28B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13B91B6C"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3F5DCC6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0C76B6C1"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414DB3D9" w14:textId="77777777" w:rsidR="00F63659" w:rsidRDefault="00F63659" w:rsidP="00CC7A1D">
            <w:pPr>
              <w:autoSpaceDE w:val="0"/>
              <w:adjustRightInd w:val="0"/>
              <w:spacing w:after="0" w:line="240" w:lineRule="auto"/>
              <w:jc w:val="right"/>
              <w:rPr>
                <w:rFonts w:cs="Calibri"/>
                <w:b/>
                <w:bCs/>
                <w:color w:val="000000"/>
                <w:sz w:val="18"/>
                <w:szCs w:val="18"/>
              </w:rPr>
            </w:pPr>
          </w:p>
        </w:tc>
        <w:tc>
          <w:tcPr>
            <w:tcW w:w="1115" w:type="dxa"/>
            <w:tcBorders>
              <w:top w:val="single" w:sz="8" w:space="0" w:color="auto"/>
              <w:left w:val="nil"/>
              <w:bottom w:val="single" w:sz="4" w:space="0" w:color="auto"/>
              <w:right w:val="nil"/>
            </w:tcBorders>
            <w:vAlign w:val="center"/>
          </w:tcPr>
          <w:p w14:paraId="5CF96C57"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 xml:space="preserve">     388,843</w:t>
            </w:r>
          </w:p>
        </w:tc>
        <w:tc>
          <w:tcPr>
            <w:tcW w:w="1147" w:type="dxa"/>
            <w:tcBorders>
              <w:top w:val="single" w:sz="8" w:space="0" w:color="auto"/>
              <w:left w:val="nil"/>
              <w:bottom w:val="single" w:sz="4" w:space="0" w:color="auto"/>
              <w:right w:val="nil"/>
            </w:tcBorders>
            <w:vAlign w:val="center"/>
          </w:tcPr>
          <w:p w14:paraId="67BE1DA5" w14:textId="77777777" w:rsidR="00F63659" w:rsidRDefault="00F63659" w:rsidP="00CC7A1D">
            <w:pPr>
              <w:autoSpaceDE w:val="0"/>
              <w:adjustRightInd w:val="0"/>
              <w:spacing w:after="0" w:line="240" w:lineRule="auto"/>
              <w:jc w:val="right"/>
              <w:rPr>
                <w:rFonts w:cs="Calibri"/>
                <w:b/>
                <w:bCs/>
                <w:color w:val="000000"/>
                <w:sz w:val="18"/>
                <w:szCs w:val="18"/>
              </w:rPr>
            </w:pPr>
            <w:r>
              <w:rPr>
                <w:rFonts w:cs="Calibri"/>
                <w:b/>
                <w:bCs/>
                <w:color w:val="000000"/>
                <w:sz w:val="18"/>
                <w:szCs w:val="18"/>
              </w:rPr>
              <w:t xml:space="preserve">        62,573</w:t>
            </w:r>
          </w:p>
        </w:tc>
        <w:tc>
          <w:tcPr>
            <w:tcW w:w="320" w:type="dxa"/>
            <w:tcBorders>
              <w:top w:val="nil"/>
              <w:left w:val="nil"/>
              <w:bottom w:val="nil"/>
              <w:right w:val="nil"/>
            </w:tcBorders>
            <w:vAlign w:val="center"/>
          </w:tcPr>
          <w:p w14:paraId="03842D32" w14:textId="77777777" w:rsidR="00F63659" w:rsidRDefault="00F63659" w:rsidP="00CC7A1D">
            <w:pPr>
              <w:autoSpaceDE w:val="0"/>
              <w:adjustRightInd w:val="0"/>
              <w:spacing w:after="0" w:line="240" w:lineRule="auto"/>
              <w:jc w:val="right"/>
              <w:rPr>
                <w:rFonts w:cs="Calibri"/>
                <w:color w:val="000000"/>
                <w:sz w:val="18"/>
                <w:szCs w:val="18"/>
              </w:rPr>
            </w:pPr>
          </w:p>
        </w:tc>
      </w:tr>
      <w:tr w:rsidR="00F63659" w14:paraId="7D9C5E97" w14:textId="77777777" w:rsidTr="00F63659">
        <w:trPr>
          <w:trHeight w:val="300"/>
        </w:trPr>
        <w:tc>
          <w:tcPr>
            <w:tcW w:w="4678" w:type="dxa"/>
            <w:tcBorders>
              <w:top w:val="nil"/>
              <w:left w:val="nil"/>
              <w:bottom w:val="nil"/>
              <w:right w:val="nil"/>
            </w:tcBorders>
            <w:vAlign w:val="center"/>
          </w:tcPr>
          <w:p w14:paraId="594363F6" w14:textId="77777777" w:rsidR="00F63659" w:rsidRDefault="00F63659" w:rsidP="00CC7A1D">
            <w:pPr>
              <w:autoSpaceDE w:val="0"/>
              <w:adjustRightInd w:val="0"/>
              <w:spacing w:after="0" w:line="240" w:lineRule="auto"/>
              <w:rPr>
                <w:rFonts w:cs="Calibri"/>
                <w:color w:val="000000"/>
                <w:sz w:val="18"/>
                <w:szCs w:val="18"/>
              </w:rPr>
            </w:pPr>
          </w:p>
        </w:tc>
        <w:tc>
          <w:tcPr>
            <w:tcW w:w="960" w:type="dxa"/>
            <w:tcBorders>
              <w:top w:val="nil"/>
              <w:left w:val="nil"/>
              <w:bottom w:val="nil"/>
              <w:right w:val="nil"/>
            </w:tcBorders>
            <w:vAlign w:val="center"/>
          </w:tcPr>
          <w:p w14:paraId="095EA7EB" w14:textId="77777777" w:rsidR="00F63659" w:rsidRDefault="00F63659" w:rsidP="00CC7A1D">
            <w:pPr>
              <w:autoSpaceDE w:val="0"/>
              <w:adjustRightInd w:val="0"/>
              <w:spacing w:after="0" w:line="240" w:lineRule="auto"/>
              <w:jc w:val="right"/>
              <w:rPr>
                <w:rFonts w:cs="Calibri"/>
                <w:b/>
                <w:bCs/>
                <w:color w:val="000000"/>
                <w:sz w:val="18"/>
                <w:szCs w:val="18"/>
              </w:rPr>
            </w:pPr>
          </w:p>
        </w:tc>
        <w:tc>
          <w:tcPr>
            <w:tcW w:w="300" w:type="dxa"/>
            <w:tcBorders>
              <w:top w:val="nil"/>
              <w:left w:val="nil"/>
              <w:bottom w:val="nil"/>
              <w:right w:val="nil"/>
            </w:tcBorders>
            <w:vAlign w:val="center"/>
          </w:tcPr>
          <w:p w14:paraId="0F5C8F42"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6CF082E2"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61DA02DF" w14:textId="77777777" w:rsidR="00F63659" w:rsidRDefault="00F63659" w:rsidP="00CC7A1D">
            <w:pPr>
              <w:autoSpaceDE w:val="0"/>
              <w:adjustRightInd w:val="0"/>
              <w:spacing w:after="0" w:line="240" w:lineRule="auto"/>
              <w:jc w:val="right"/>
              <w:rPr>
                <w:rFonts w:cs="Calibri"/>
                <w:b/>
                <w:bCs/>
                <w:color w:val="000000"/>
                <w:sz w:val="18"/>
                <w:szCs w:val="18"/>
              </w:rPr>
            </w:pPr>
          </w:p>
        </w:tc>
        <w:tc>
          <w:tcPr>
            <w:tcW w:w="678" w:type="dxa"/>
            <w:tcBorders>
              <w:top w:val="nil"/>
              <w:left w:val="nil"/>
              <w:bottom w:val="nil"/>
              <w:right w:val="nil"/>
            </w:tcBorders>
            <w:vAlign w:val="center"/>
          </w:tcPr>
          <w:p w14:paraId="03AD1F13" w14:textId="77777777" w:rsidR="00F63659" w:rsidRDefault="00F63659" w:rsidP="00CC7A1D">
            <w:pPr>
              <w:autoSpaceDE w:val="0"/>
              <w:adjustRightInd w:val="0"/>
              <w:spacing w:after="0" w:line="240" w:lineRule="auto"/>
              <w:jc w:val="right"/>
              <w:rPr>
                <w:rFonts w:cs="Calibri"/>
                <w:b/>
                <w:bCs/>
                <w:color w:val="000000"/>
                <w:sz w:val="18"/>
                <w:szCs w:val="18"/>
              </w:rPr>
            </w:pPr>
          </w:p>
        </w:tc>
        <w:tc>
          <w:tcPr>
            <w:tcW w:w="236" w:type="dxa"/>
            <w:tcBorders>
              <w:top w:val="nil"/>
              <w:left w:val="nil"/>
              <w:bottom w:val="nil"/>
              <w:right w:val="nil"/>
            </w:tcBorders>
            <w:vAlign w:val="center"/>
          </w:tcPr>
          <w:p w14:paraId="238DCB42" w14:textId="77777777" w:rsidR="00F63659" w:rsidRDefault="00F63659" w:rsidP="00CC7A1D">
            <w:pPr>
              <w:autoSpaceDE w:val="0"/>
              <w:adjustRightInd w:val="0"/>
              <w:spacing w:after="0" w:line="240" w:lineRule="auto"/>
              <w:jc w:val="right"/>
              <w:rPr>
                <w:rFonts w:cs="Calibri"/>
                <w:color w:val="000000"/>
                <w:sz w:val="18"/>
                <w:szCs w:val="18"/>
              </w:rPr>
            </w:pPr>
          </w:p>
        </w:tc>
        <w:tc>
          <w:tcPr>
            <w:tcW w:w="1115" w:type="dxa"/>
            <w:tcBorders>
              <w:top w:val="single" w:sz="4" w:space="0" w:color="auto"/>
              <w:left w:val="nil"/>
              <w:bottom w:val="nil"/>
              <w:right w:val="nil"/>
            </w:tcBorders>
            <w:vAlign w:val="center"/>
          </w:tcPr>
          <w:p w14:paraId="11BB7507" w14:textId="77777777" w:rsidR="00F63659" w:rsidRDefault="00F63659" w:rsidP="00CC7A1D">
            <w:pPr>
              <w:autoSpaceDE w:val="0"/>
              <w:adjustRightInd w:val="0"/>
              <w:spacing w:after="0" w:line="240" w:lineRule="auto"/>
              <w:jc w:val="right"/>
              <w:rPr>
                <w:rFonts w:cs="Calibri"/>
                <w:color w:val="000000"/>
                <w:sz w:val="18"/>
                <w:szCs w:val="18"/>
              </w:rPr>
            </w:pPr>
          </w:p>
        </w:tc>
        <w:tc>
          <w:tcPr>
            <w:tcW w:w="1147" w:type="dxa"/>
            <w:tcBorders>
              <w:top w:val="single" w:sz="4" w:space="0" w:color="auto"/>
              <w:left w:val="nil"/>
              <w:bottom w:val="nil"/>
              <w:right w:val="nil"/>
            </w:tcBorders>
            <w:vAlign w:val="center"/>
          </w:tcPr>
          <w:p w14:paraId="5F853D0C" w14:textId="77777777" w:rsidR="00F63659" w:rsidRDefault="00F63659" w:rsidP="00CC7A1D">
            <w:pPr>
              <w:autoSpaceDE w:val="0"/>
              <w:adjustRightInd w:val="0"/>
              <w:spacing w:after="0" w:line="240" w:lineRule="auto"/>
              <w:jc w:val="right"/>
              <w:rPr>
                <w:rFonts w:cs="Calibri"/>
                <w:color w:val="000000"/>
                <w:sz w:val="18"/>
                <w:szCs w:val="18"/>
              </w:rPr>
            </w:pPr>
          </w:p>
        </w:tc>
        <w:tc>
          <w:tcPr>
            <w:tcW w:w="320" w:type="dxa"/>
            <w:tcBorders>
              <w:top w:val="nil"/>
              <w:left w:val="nil"/>
              <w:bottom w:val="nil"/>
              <w:right w:val="nil"/>
            </w:tcBorders>
            <w:vAlign w:val="center"/>
          </w:tcPr>
          <w:p w14:paraId="1583D558" w14:textId="77777777" w:rsidR="00F63659" w:rsidRDefault="00F63659" w:rsidP="00CC7A1D">
            <w:pPr>
              <w:autoSpaceDE w:val="0"/>
              <w:adjustRightInd w:val="0"/>
              <w:spacing w:after="0" w:line="240" w:lineRule="auto"/>
              <w:jc w:val="right"/>
              <w:rPr>
                <w:rFonts w:cs="Calibri"/>
                <w:color w:val="000000"/>
                <w:sz w:val="18"/>
                <w:szCs w:val="18"/>
              </w:rPr>
            </w:pPr>
          </w:p>
        </w:tc>
      </w:tr>
    </w:tbl>
    <w:p w14:paraId="72E5CDF3" w14:textId="77777777" w:rsidR="00F63659" w:rsidRDefault="00F63659" w:rsidP="00F63659">
      <w:pPr>
        <w:widowControl w:val="0"/>
        <w:autoSpaceDE w:val="0"/>
        <w:adjustRightInd w:val="0"/>
        <w:spacing w:after="0" w:line="240" w:lineRule="auto"/>
        <w:rPr>
          <w:rFonts w:cs="Calibri"/>
          <w:b/>
          <w:bCs/>
          <w:kern w:val="2"/>
          <w:sz w:val="20"/>
          <w:szCs w:val="20"/>
        </w:rPr>
      </w:pPr>
    </w:p>
    <w:p w14:paraId="751AD04C" w14:textId="77777777" w:rsidR="00F63659" w:rsidRDefault="00F63659" w:rsidP="00F63659">
      <w:pPr>
        <w:widowControl w:val="0"/>
        <w:autoSpaceDE w:val="0"/>
        <w:adjustRightInd w:val="0"/>
        <w:spacing w:after="0" w:line="240" w:lineRule="auto"/>
        <w:rPr>
          <w:rFonts w:cs="Calibri"/>
          <w:b/>
          <w:bCs/>
          <w:kern w:val="2"/>
          <w:sz w:val="20"/>
          <w:szCs w:val="20"/>
        </w:rPr>
      </w:pPr>
    </w:p>
    <w:p w14:paraId="20B5D88A" w14:textId="77777777" w:rsidR="00F63659" w:rsidRDefault="00F63659" w:rsidP="00F63659">
      <w:pPr>
        <w:widowControl w:val="0"/>
        <w:autoSpaceDE w:val="0"/>
        <w:adjustRightInd w:val="0"/>
        <w:spacing w:after="0" w:line="240" w:lineRule="auto"/>
        <w:rPr>
          <w:rFonts w:cs="Calibri"/>
          <w:b/>
          <w:bCs/>
          <w:kern w:val="2"/>
          <w:sz w:val="20"/>
          <w:szCs w:val="20"/>
        </w:rPr>
      </w:pPr>
    </w:p>
    <w:p w14:paraId="7B40F361" w14:textId="77777777" w:rsidR="00F63659" w:rsidRDefault="00F63659" w:rsidP="00F63659">
      <w:pPr>
        <w:widowControl w:val="0"/>
        <w:autoSpaceDE w:val="0"/>
        <w:adjustRightInd w:val="0"/>
        <w:spacing w:after="0" w:line="240" w:lineRule="auto"/>
        <w:rPr>
          <w:rFonts w:cs="Calibri"/>
          <w:b/>
          <w:bCs/>
          <w:kern w:val="2"/>
          <w:sz w:val="20"/>
          <w:szCs w:val="20"/>
        </w:rPr>
      </w:pPr>
    </w:p>
    <w:p w14:paraId="05C5DADC" w14:textId="77777777" w:rsidR="00F63659" w:rsidRDefault="00F63659" w:rsidP="00F63659">
      <w:pPr>
        <w:widowControl w:val="0"/>
        <w:autoSpaceDE w:val="0"/>
        <w:adjustRightInd w:val="0"/>
        <w:spacing w:after="0" w:line="240" w:lineRule="auto"/>
        <w:rPr>
          <w:rFonts w:cs="Calibri"/>
          <w:b/>
          <w:bCs/>
          <w:kern w:val="2"/>
          <w:sz w:val="20"/>
          <w:szCs w:val="20"/>
        </w:rPr>
      </w:pPr>
    </w:p>
    <w:p w14:paraId="1269DEE6" w14:textId="77777777" w:rsidR="00F63659" w:rsidRDefault="00F63659" w:rsidP="00F63659">
      <w:pPr>
        <w:widowControl w:val="0"/>
        <w:autoSpaceDE w:val="0"/>
        <w:adjustRightInd w:val="0"/>
        <w:spacing w:before="120" w:after="0" w:line="240" w:lineRule="auto"/>
        <w:jc w:val="both"/>
        <w:rPr>
          <w:rFonts w:cs="Calibri"/>
          <w:kern w:val="2"/>
          <w:sz w:val="18"/>
          <w:szCs w:val="18"/>
        </w:rPr>
      </w:pPr>
      <w:r>
        <w:rPr>
          <w:rFonts w:cs="Calibri"/>
          <w:kern w:val="2"/>
          <w:sz w:val="18"/>
          <w:szCs w:val="18"/>
        </w:rPr>
        <w:t xml:space="preserve">The notes </w:t>
      </w:r>
      <w:r>
        <w:rPr>
          <w:rFonts w:cs="Calibri"/>
          <w:color w:val="000000"/>
          <w:kern w:val="2"/>
          <w:sz w:val="18"/>
          <w:szCs w:val="18"/>
          <w:lang w:val="en-US"/>
        </w:rPr>
        <w:t>to the financial statements form an integral part of these financial statements.</w:t>
      </w:r>
    </w:p>
    <w:p w14:paraId="0298E125" w14:textId="77777777" w:rsidR="00F63659" w:rsidRDefault="00F63659" w:rsidP="00F63659">
      <w:pPr>
        <w:widowControl w:val="0"/>
        <w:autoSpaceDE w:val="0"/>
        <w:adjustRightInd w:val="0"/>
        <w:spacing w:before="120" w:after="0" w:line="240" w:lineRule="auto"/>
        <w:jc w:val="both"/>
        <w:rPr>
          <w:rFonts w:cs="Calibri"/>
          <w:kern w:val="2"/>
          <w:sz w:val="18"/>
          <w:szCs w:val="18"/>
        </w:rPr>
      </w:pPr>
    </w:p>
    <w:p w14:paraId="3E01F5C6" w14:textId="77777777" w:rsidR="00F63659" w:rsidRDefault="00F63659" w:rsidP="00F63659">
      <w:pPr>
        <w:widowControl w:val="0"/>
        <w:autoSpaceDE w:val="0"/>
        <w:adjustRightInd w:val="0"/>
        <w:spacing w:before="120" w:after="0" w:line="240" w:lineRule="auto"/>
        <w:jc w:val="both"/>
        <w:rPr>
          <w:rFonts w:cs="Calibri"/>
          <w:color w:val="000000"/>
          <w:kern w:val="2"/>
          <w:sz w:val="18"/>
          <w:szCs w:val="18"/>
          <w:lang w:val="en-US"/>
        </w:rPr>
      </w:pPr>
    </w:p>
    <w:p w14:paraId="6C3E82A6" w14:textId="77777777" w:rsidR="00F63659" w:rsidRDefault="00F63659" w:rsidP="00F63659">
      <w:pPr>
        <w:widowControl w:val="0"/>
        <w:autoSpaceDE w:val="0"/>
        <w:adjustRightInd w:val="0"/>
        <w:spacing w:before="120" w:after="0" w:line="240" w:lineRule="auto"/>
        <w:jc w:val="both"/>
        <w:rPr>
          <w:rFonts w:cs="Calibri"/>
          <w:color w:val="000000"/>
          <w:kern w:val="2"/>
          <w:sz w:val="18"/>
          <w:szCs w:val="18"/>
          <w:lang w:val="en-US"/>
        </w:rPr>
      </w:pPr>
      <w:r>
        <w:rPr>
          <w:rFonts w:cs="Calibri"/>
          <w:color w:val="000000"/>
          <w:kern w:val="2"/>
          <w:sz w:val="18"/>
          <w:szCs w:val="18"/>
          <w:lang w:val="en-US"/>
        </w:rPr>
        <w:t xml:space="preserve">The financial statements of Mining, Minerals &amp; Metals plc (registered number 08377465) were approved by the Board of Directors and authorised for issue on 28 May 2021. </w:t>
      </w:r>
    </w:p>
    <w:p w14:paraId="3527035B" w14:textId="77777777" w:rsidR="00F63659" w:rsidRDefault="00F63659" w:rsidP="00F63659">
      <w:pPr>
        <w:widowControl w:val="0"/>
        <w:autoSpaceDE w:val="0"/>
        <w:adjustRightInd w:val="0"/>
        <w:spacing w:before="120" w:after="0" w:line="240" w:lineRule="auto"/>
        <w:jc w:val="both"/>
        <w:rPr>
          <w:rFonts w:cs="Calibri"/>
          <w:color w:val="000000"/>
          <w:kern w:val="2"/>
          <w:sz w:val="18"/>
          <w:szCs w:val="18"/>
          <w:lang w:val="en-US"/>
        </w:rPr>
      </w:pPr>
      <w:r>
        <w:rPr>
          <w:rFonts w:cs="Calibri"/>
          <w:color w:val="000000"/>
          <w:kern w:val="2"/>
          <w:sz w:val="18"/>
          <w:szCs w:val="18"/>
          <w:lang w:val="en-US"/>
        </w:rPr>
        <w:t>They were signed on its behalf by:</w:t>
      </w:r>
    </w:p>
    <w:p w14:paraId="34B88703" w14:textId="77777777" w:rsidR="00F63659" w:rsidRDefault="00F63659" w:rsidP="00F63659">
      <w:pPr>
        <w:widowControl w:val="0"/>
        <w:autoSpaceDE w:val="0"/>
        <w:adjustRightInd w:val="0"/>
        <w:spacing w:after="0" w:line="240" w:lineRule="auto"/>
        <w:jc w:val="both"/>
        <w:rPr>
          <w:rFonts w:cs="Calibri"/>
          <w:kern w:val="2"/>
          <w:sz w:val="18"/>
          <w:szCs w:val="18"/>
        </w:rPr>
      </w:pPr>
    </w:p>
    <w:p w14:paraId="26204679" w14:textId="77777777" w:rsidR="00F63659" w:rsidRDefault="00F63659" w:rsidP="00F63659">
      <w:pPr>
        <w:widowControl w:val="0"/>
        <w:autoSpaceDE w:val="0"/>
        <w:adjustRightInd w:val="0"/>
        <w:spacing w:after="0" w:line="240" w:lineRule="auto"/>
        <w:jc w:val="both"/>
        <w:rPr>
          <w:rFonts w:cs="Calibri"/>
          <w:kern w:val="2"/>
          <w:sz w:val="18"/>
          <w:szCs w:val="18"/>
        </w:rPr>
      </w:pPr>
    </w:p>
    <w:p w14:paraId="3F3C5544" w14:textId="77777777" w:rsidR="00F63659" w:rsidRDefault="00F63659" w:rsidP="00F63659">
      <w:pPr>
        <w:widowControl w:val="0"/>
        <w:autoSpaceDE w:val="0"/>
        <w:adjustRightInd w:val="0"/>
        <w:spacing w:after="0" w:line="240" w:lineRule="auto"/>
        <w:jc w:val="both"/>
        <w:rPr>
          <w:rFonts w:cs="Calibri"/>
          <w:kern w:val="2"/>
          <w:sz w:val="18"/>
          <w:szCs w:val="18"/>
        </w:rPr>
      </w:pPr>
    </w:p>
    <w:p w14:paraId="089FEC38" w14:textId="77777777" w:rsidR="00F63659" w:rsidRDefault="00F63659" w:rsidP="00F63659">
      <w:pPr>
        <w:widowControl w:val="0"/>
        <w:autoSpaceDE w:val="0"/>
        <w:adjustRightInd w:val="0"/>
        <w:spacing w:after="0" w:line="240" w:lineRule="auto"/>
        <w:jc w:val="both"/>
        <w:rPr>
          <w:rFonts w:cs="Calibri"/>
          <w:b/>
          <w:bCs/>
          <w:kern w:val="2"/>
          <w:sz w:val="18"/>
          <w:szCs w:val="18"/>
        </w:rPr>
      </w:pPr>
      <w:r>
        <w:rPr>
          <w:rFonts w:cs="Calibri"/>
          <w:b/>
          <w:bCs/>
          <w:kern w:val="2"/>
          <w:sz w:val="18"/>
          <w:szCs w:val="18"/>
        </w:rPr>
        <w:t>Roy Pitchford</w:t>
      </w:r>
    </w:p>
    <w:p w14:paraId="7A35E400" w14:textId="77777777" w:rsidR="00F63659" w:rsidRDefault="00F63659" w:rsidP="00F63659">
      <w:pPr>
        <w:widowControl w:val="0"/>
        <w:autoSpaceDE w:val="0"/>
        <w:adjustRightInd w:val="0"/>
        <w:spacing w:after="0" w:line="240" w:lineRule="auto"/>
        <w:jc w:val="both"/>
        <w:rPr>
          <w:rFonts w:cs="Calibri"/>
          <w:i/>
          <w:iCs/>
          <w:kern w:val="2"/>
          <w:sz w:val="18"/>
          <w:szCs w:val="18"/>
        </w:rPr>
      </w:pPr>
      <w:r>
        <w:rPr>
          <w:rFonts w:cs="Calibri"/>
          <w:i/>
          <w:iCs/>
          <w:kern w:val="2"/>
          <w:sz w:val="18"/>
          <w:szCs w:val="18"/>
        </w:rPr>
        <w:t xml:space="preserve">Director </w:t>
      </w:r>
    </w:p>
    <w:p w14:paraId="0078D508" w14:textId="77777777" w:rsidR="00F63659" w:rsidRDefault="00F63659" w:rsidP="00F63659">
      <w:pPr>
        <w:widowControl w:val="0"/>
        <w:autoSpaceDE w:val="0"/>
        <w:adjustRightInd w:val="0"/>
        <w:spacing w:before="120" w:after="0" w:line="240" w:lineRule="auto"/>
        <w:jc w:val="both"/>
        <w:rPr>
          <w:rFonts w:cs="Calibri"/>
          <w:kern w:val="2"/>
          <w:sz w:val="18"/>
          <w:szCs w:val="18"/>
        </w:rPr>
      </w:pPr>
    </w:p>
    <w:p w14:paraId="16025218"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t>STATEMENT OF CHANGES IN EQUITY</w:t>
      </w:r>
    </w:p>
    <w:p w14:paraId="721426FA"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t>for the year ended 31 January 2021</w:t>
      </w:r>
    </w:p>
    <w:p w14:paraId="0A2830DF" w14:textId="77777777" w:rsidR="00F63659" w:rsidRDefault="00F63659" w:rsidP="00F63659">
      <w:pPr>
        <w:widowControl w:val="0"/>
        <w:tabs>
          <w:tab w:val="left" w:pos="550"/>
        </w:tabs>
        <w:autoSpaceDE w:val="0"/>
        <w:adjustRightInd w:val="0"/>
        <w:spacing w:before="120" w:after="120" w:line="240" w:lineRule="auto"/>
        <w:jc w:val="both"/>
        <w:rPr>
          <w:rFonts w:cs="Calibri"/>
          <w:kern w:val="2"/>
          <w:sz w:val="18"/>
          <w:szCs w:val="18"/>
        </w:rPr>
      </w:pPr>
    </w:p>
    <w:p w14:paraId="42E78BCA" w14:textId="77777777" w:rsidR="00F63659" w:rsidRDefault="00F63659" w:rsidP="00F63659">
      <w:pPr>
        <w:widowControl w:val="0"/>
        <w:tabs>
          <w:tab w:val="left" w:pos="550"/>
        </w:tabs>
        <w:autoSpaceDE w:val="0"/>
        <w:adjustRightInd w:val="0"/>
        <w:spacing w:before="120" w:after="120" w:line="240" w:lineRule="auto"/>
        <w:jc w:val="both"/>
        <w:rPr>
          <w:rFonts w:cs="Calibri"/>
          <w:kern w:val="2"/>
          <w:sz w:val="18"/>
          <w:szCs w:val="18"/>
        </w:rPr>
      </w:pPr>
    </w:p>
    <w:tbl>
      <w:tblPr>
        <w:tblW w:w="0" w:type="auto"/>
        <w:tblLayout w:type="fixed"/>
        <w:tblLook w:val="0000" w:firstRow="0" w:lastRow="0" w:firstColumn="0" w:lastColumn="0" w:noHBand="0" w:noVBand="0"/>
      </w:tblPr>
      <w:tblGrid>
        <w:gridCol w:w="3503"/>
        <w:gridCol w:w="1317"/>
        <w:gridCol w:w="1512"/>
        <w:gridCol w:w="1606"/>
        <w:gridCol w:w="1190"/>
      </w:tblGrid>
      <w:tr w:rsidR="00F63659" w14:paraId="2C3B7CE5" w14:textId="77777777" w:rsidTr="00CC7A1D">
        <w:tc>
          <w:tcPr>
            <w:tcW w:w="3503" w:type="dxa"/>
            <w:tcBorders>
              <w:top w:val="nil"/>
              <w:left w:val="nil"/>
              <w:bottom w:val="nil"/>
              <w:right w:val="nil"/>
            </w:tcBorders>
          </w:tcPr>
          <w:p w14:paraId="47EAA7BD" w14:textId="77777777" w:rsidR="00F63659" w:rsidRDefault="00F63659" w:rsidP="00CC7A1D">
            <w:pPr>
              <w:widowControl w:val="0"/>
              <w:tabs>
                <w:tab w:val="left" w:pos="550"/>
              </w:tabs>
              <w:autoSpaceDE w:val="0"/>
              <w:adjustRightInd w:val="0"/>
              <w:spacing w:after="0" w:line="240" w:lineRule="auto"/>
              <w:jc w:val="both"/>
              <w:rPr>
                <w:rFonts w:cs="Calibri"/>
                <w:color w:val="0D0D0D"/>
                <w:kern w:val="2"/>
                <w:sz w:val="18"/>
                <w:szCs w:val="18"/>
                <w:lang w:val="en-US"/>
              </w:rPr>
            </w:pPr>
          </w:p>
        </w:tc>
        <w:tc>
          <w:tcPr>
            <w:tcW w:w="1317" w:type="dxa"/>
            <w:tcBorders>
              <w:top w:val="nil"/>
              <w:left w:val="nil"/>
              <w:bottom w:val="nil"/>
              <w:right w:val="nil"/>
            </w:tcBorders>
          </w:tcPr>
          <w:p w14:paraId="1031D1F5"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Share capital</w:t>
            </w:r>
          </w:p>
        </w:tc>
        <w:tc>
          <w:tcPr>
            <w:tcW w:w="1512" w:type="dxa"/>
            <w:tcBorders>
              <w:top w:val="nil"/>
              <w:left w:val="nil"/>
              <w:bottom w:val="nil"/>
              <w:right w:val="nil"/>
            </w:tcBorders>
          </w:tcPr>
          <w:p w14:paraId="625064BD"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Share premium</w:t>
            </w:r>
          </w:p>
        </w:tc>
        <w:tc>
          <w:tcPr>
            <w:tcW w:w="1606" w:type="dxa"/>
            <w:tcBorders>
              <w:top w:val="nil"/>
              <w:left w:val="nil"/>
              <w:bottom w:val="nil"/>
              <w:right w:val="nil"/>
            </w:tcBorders>
          </w:tcPr>
          <w:p w14:paraId="4135A477"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Retained earnings</w:t>
            </w:r>
          </w:p>
        </w:tc>
        <w:tc>
          <w:tcPr>
            <w:tcW w:w="1190" w:type="dxa"/>
            <w:tcBorders>
              <w:top w:val="nil"/>
              <w:left w:val="nil"/>
              <w:bottom w:val="nil"/>
              <w:right w:val="nil"/>
            </w:tcBorders>
          </w:tcPr>
          <w:p w14:paraId="41F34218"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Total equity</w:t>
            </w:r>
          </w:p>
        </w:tc>
      </w:tr>
      <w:tr w:rsidR="00F63659" w14:paraId="0F03F21A" w14:textId="77777777" w:rsidTr="00CC7A1D">
        <w:tblPrEx>
          <w:tblBorders>
            <w:top w:val="single" w:sz="4" w:space="0" w:color="000000"/>
            <w:left w:val="single" w:sz="4" w:space="0" w:color="000000"/>
            <w:bottom w:val="single" w:sz="4" w:space="0" w:color="000000"/>
            <w:right w:val="single" w:sz="4" w:space="0" w:color="000000"/>
          </w:tblBorders>
        </w:tblPrEx>
        <w:trPr>
          <w:trHeight w:val="245"/>
        </w:trPr>
        <w:tc>
          <w:tcPr>
            <w:tcW w:w="3503" w:type="dxa"/>
            <w:tcBorders>
              <w:top w:val="nil"/>
              <w:left w:val="nil"/>
              <w:bottom w:val="nil"/>
              <w:right w:val="nil"/>
            </w:tcBorders>
          </w:tcPr>
          <w:p w14:paraId="01331F6F" w14:textId="77777777" w:rsidR="00F63659" w:rsidRDefault="00F63659" w:rsidP="00CC7A1D">
            <w:pPr>
              <w:widowControl w:val="0"/>
              <w:tabs>
                <w:tab w:val="left" w:pos="550"/>
              </w:tabs>
              <w:autoSpaceDE w:val="0"/>
              <w:adjustRightInd w:val="0"/>
              <w:spacing w:after="0" w:line="240" w:lineRule="auto"/>
              <w:jc w:val="both"/>
              <w:rPr>
                <w:rFonts w:cs="Calibri"/>
                <w:color w:val="0D0D0D"/>
                <w:kern w:val="2"/>
                <w:sz w:val="18"/>
                <w:szCs w:val="18"/>
                <w:lang w:val="en-US"/>
              </w:rPr>
            </w:pPr>
          </w:p>
        </w:tc>
        <w:tc>
          <w:tcPr>
            <w:tcW w:w="1317" w:type="dxa"/>
            <w:tcBorders>
              <w:top w:val="nil"/>
              <w:left w:val="nil"/>
              <w:bottom w:val="nil"/>
              <w:right w:val="nil"/>
            </w:tcBorders>
          </w:tcPr>
          <w:p w14:paraId="21498851"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w:t>
            </w:r>
          </w:p>
        </w:tc>
        <w:tc>
          <w:tcPr>
            <w:tcW w:w="1512" w:type="dxa"/>
            <w:tcBorders>
              <w:top w:val="nil"/>
              <w:left w:val="nil"/>
              <w:bottom w:val="nil"/>
              <w:right w:val="nil"/>
            </w:tcBorders>
          </w:tcPr>
          <w:p w14:paraId="1CFF5E9A"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w:t>
            </w:r>
          </w:p>
        </w:tc>
        <w:tc>
          <w:tcPr>
            <w:tcW w:w="1606" w:type="dxa"/>
            <w:tcBorders>
              <w:top w:val="nil"/>
              <w:left w:val="nil"/>
              <w:bottom w:val="nil"/>
              <w:right w:val="nil"/>
            </w:tcBorders>
          </w:tcPr>
          <w:p w14:paraId="0BDCEA64"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w:t>
            </w:r>
          </w:p>
        </w:tc>
        <w:tc>
          <w:tcPr>
            <w:tcW w:w="1190" w:type="dxa"/>
            <w:tcBorders>
              <w:top w:val="nil"/>
              <w:left w:val="nil"/>
              <w:bottom w:val="nil"/>
              <w:right w:val="nil"/>
            </w:tcBorders>
          </w:tcPr>
          <w:p w14:paraId="3518AF25"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w:t>
            </w:r>
          </w:p>
        </w:tc>
      </w:tr>
    </w:tbl>
    <w:p w14:paraId="256B8E80" w14:textId="77777777" w:rsidR="00F63659" w:rsidRDefault="00F63659" w:rsidP="00F63659">
      <w:pPr>
        <w:widowControl w:val="0"/>
        <w:tabs>
          <w:tab w:val="left" w:pos="550"/>
        </w:tabs>
        <w:autoSpaceDE w:val="0"/>
        <w:adjustRightInd w:val="0"/>
        <w:spacing w:after="0" w:line="240" w:lineRule="auto"/>
        <w:jc w:val="both"/>
        <w:rPr>
          <w:rFonts w:cs="Calibri"/>
          <w:kern w:val="2"/>
          <w:sz w:val="18"/>
          <w:szCs w:val="18"/>
        </w:rPr>
      </w:pPr>
    </w:p>
    <w:tbl>
      <w:tblPr>
        <w:tblW w:w="0" w:type="auto"/>
        <w:tblInd w:w="5" w:type="dxa"/>
        <w:tblLayout w:type="fixed"/>
        <w:tblLook w:val="0000" w:firstRow="0" w:lastRow="0" w:firstColumn="0" w:lastColumn="0" w:noHBand="0" w:noVBand="0"/>
      </w:tblPr>
      <w:tblGrid>
        <w:gridCol w:w="3483"/>
        <w:gridCol w:w="1309"/>
        <w:gridCol w:w="1554"/>
        <w:gridCol w:w="1560"/>
        <w:gridCol w:w="1252"/>
      </w:tblGrid>
      <w:tr w:rsidR="00F63659" w14:paraId="2FBE27FE" w14:textId="77777777" w:rsidTr="00CC7A1D">
        <w:trPr>
          <w:trHeight w:val="282"/>
        </w:trPr>
        <w:tc>
          <w:tcPr>
            <w:tcW w:w="3483" w:type="dxa"/>
            <w:tcBorders>
              <w:top w:val="nil"/>
              <w:left w:val="nil"/>
              <w:bottom w:val="nil"/>
              <w:right w:val="nil"/>
            </w:tcBorders>
          </w:tcPr>
          <w:p w14:paraId="2A46856D" w14:textId="77777777" w:rsidR="00F63659" w:rsidRDefault="00F63659" w:rsidP="00CC7A1D">
            <w:pPr>
              <w:widowControl w:val="0"/>
              <w:tabs>
                <w:tab w:val="left" w:pos="550"/>
              </w:tabs>
              <w:autoSpaceDE w:val="0"/>
              <w:adjustRightInd w:val="0"/>
              <w:spacing w:after="0" w:line="240" w:lineRule="auto"/>
              <w:jc w:val="both"/>
              <w:rPr>
                <w:rFonts w:cs="Calibri"/>
                <w:b/>
                <w:bCs/>
                <w:color w:val="0D0D0D"/>
                <w:kern w:val="2"/>
                <w:sz w:val="18"/>
                <w:szCs w:val="18"/>
                <w:lang w:val="en-US"/>
              </w:rPr>
            </w:pPr>
            <w:r>
              <w:rPr>
                <w:rFonts w:cs="Calibri"/>
                <w:b/>
                <w:bCs/>
                <w:color w:val="0D0D0D"/>
                <w:kern w:val="2"/>
                <w:sz w:val="18"/>
                <w:szCs w:val="18"/>
                <w:lang w:val="en-US"/>
              </w:rPr>
              <w:t>Balance at 31 January 2019</w:t>
            </w:r>
          </w:p>
        </w:tc>
        <w:tc>
          <w:tcPr>
            <w:tcW w:w="1309" w:type="dxa"/>
            <w:tcBorders>
              <w:top w:val="single" w:sz="4" w:space="0" w:color="auto"/>
              <w:left w:val="nil"/>
              <w:bottom w:val="nil"/>
              <w:right w:val="nil"/>
            </w:tcBorders>
          </w:tcPr>
          <w:p w14:paraId="6E797C47"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145,500</w:t>
            </w:r>
          </w:p>
        </w:tc>
        <w:tc>
          <w:tcPr>
            <w:tcW w:w="1554" w:type="dxa"/>
            <w:tcBorders>
              <w:top w:val="single" w:sz="4" w:space="0" w:color="auto"/>
              <w:left w:val="nil"/>
              <w:bottom w:val="nil"/>
              <w:right w:val="nil"/>
            </w:tcBorders>
          </w:tcPr>
          <w:p w14:paraId="45A19189"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54,500</w:t>
            </w:r>
          </w:p>
        </w:tc>
        <w:tc>
          <w:tcPr>
            <w:tcW w:w="1560" w:type="dxa"/>
            <w:tcBorders>
              <w:top w:val="single" w:sz="4" w:space="0" w:color="auto"/>
              <w:left w:val="nil"/>
              <w:bottom w:val="nil"/>
              <w:right w:val="nil"/>
            </w:tcBorders>
          </w:tcPr>
          <w:p w14:paraId="62591FFD"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(136,357)</w:t>
            </w:r>
          </w:p>
        </w:tc>
        <w:tc>
          <w:tcPr>
            <w:tcW w:w="1252" w:type="dxa"/>
            <w:tcBorders>
              <w:top w:val="single" w:sz="4" w:space="0" w:color="auto"/>
              <w:left w:val="nil"/>
              <w:bottom w:val="nil"/>
              <w:right w:val="nil"/>
            </w:tcBorders>
          </w:tcPr>
          <w:p w14:paraId="102D2A58" w14:textId="77777777" w:rsidR="00F63659" w:rsidRDefault="00F63659" w:rsidP="00CC7A1D">
            <w:pPr>
              <w:widowControl w:val="0"/>
              <w:tabs>
                <w:tab w:val="left" w:pos="550"/>
              </w:tabs>
              <w:autoSpaceDE w:val="0"/>
              <w:adjustRightInd w:val="0"/>
              <w:spacing w:after="0" w:line="240" w:lineRule="auto"/>
              <w:jc w:val="center"/>
              <w:rPr>
                <w:rFonts w:cs="Calibri"/>
                <w:b/>
                <w:bCs/>
                <w:color w:val="0D0D0D"/>
                <w:kern w:val="2"/>
                <w:sz w:val="18"/>
                <w:szCs w:val="18"/>
                <w:lang w:val="en-US"/>
              </w:rPr>
            </w:pPr>
            <w:r>
              <w:rPr>
                <w:rFonts w:cs="Calibri"/>
                <w:b/>
                <w:bCs/>
                <w:color w:val="0D0D0D"/>
                <w:kern w:val="2"/>
                <w:sz w:val="18"/>
                <w:szCs w:val="18"/>
                <w:lang w:val="en-US"/>
              </w:rPr>
              <w:t xml:space="preserve">            63,642</w:t>
            </w:r>
          </w:p>
        </w:tc>
      </w:tr>
      <w:tr w:rsidR="00F63659" w14:paraId="7C3F4DEC" w14:textId="77777777" w:rsidTr="00CC7A1D">
        <w:trPr>
          <w:trHeight w:val="144"/>
        </w:trPr>
        <w:tc>
          <w:tcPr>
            <w:tcW w:w="3483" w:type="dxa"/>
            <w:tcBorders>
              <w:top w:val="nil"/>
              <w:left w:val="nil"/>
              <w:bottom w:val="nil"/>
              <w:right w:val="nil"/>
            </w:tcBorders>
          </w:tcPr>
          <w:p w14:paraId="2D1113B1" w14:textId="77777777" w:rsidR="00F63659" w:rsidRDefault="00F63659" w:rsidP="00CC7A1D">
            <w:pPr>
              <w:widowControl w:val="0"/>
              <w:tabs>
                <w:tab w:val="left" w:pos="550"/>
              </w:tabs>
              <w:autoSpaceDE w:val="0"/>
              <w:adjustRightInd w:val="0"/>
              <w:spacing w:after="0" w:line="240" w:lineRule="auto"/>
              <w:jc w:val="both"/>
              <w:rPr>
                <w:rFonts w:cs="Calibri"/>
                <w:color w:val="0D0D0D"/>
                <w:kern w:val="2"/>
                <w:sz w:val="18"/>
                <w:szCs w:val="18"/>
                <w:lang w:val="en-US"/>
              </w:rPr>
            </w:pPr>
            <w:r>
              <w:rPr>
                <w:rFonts w:cs="Calibri"/>
                <w:color w:val="0D0D0D"/>
                <w:kern w:val="2"/>
                <w:sz w:val="18"/>
                <w:szCs w:val="18"/>
                <w:lang w:val="en-US"/>
              </w:rPr>
              <w:t>Shares issued</w:t>
            </w:r>
            <w:r>
              <w:rPr>
                <w:rFonts w:cs="Calibri"/>
                <w:color w:val="0D0D0D"/>
                <w:kern w:val="2"/>
                <w:sz w:val="18"/>
                <w:szCs w:val="18"/>
                <w:lang w:val="en-US"/>
              </w:rPr>
              <w:tab/>
            </w:r>
          </w:p>
        </w:tc>
        <w:tc>
          <w:tcPr>
            <w:tcW w:w="1309" w:type="dxa"/>
            <w:tcBorders>
              <w:top w:val="nil"/>
              <w:left w:val="nil"/>
              <w:bottom w:val="nil"/>
              <w:right w:val="nil"/>
            </w:tcBorders>
          </w:tcPr>
          <w:p w14:paraId="032D2DAB"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w:t>
            </w:r>
          </w:p>
        </w:tc>
        <w:tc>
          <w:tcPr>
            <w:tcW w:w="1554" w:type="dxa"/>
            <w:tcBorders>
              <w:top w:val="nil"/>
              <w:left w:val="nil"/>
              <w:bottom w:val="nil"/>
              <w:right w:val="nil"/>
            </w:tcBorders>
          </w:tcPr>
          <w:p w14:paraId="773DADB8"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w:t>
            </w:r>
          </w:p>
        </w:tc>
        <w:tc>
          <w:tcPr>
            <w:tcW w:w="1560" w:type="dxa"/>
            <w:tcBorders>
              <w:top w:val="nil"/>
              <w:left w:val="nil"/>
              <w:bottom w:val="nil"/>
              <w:right w:val="nil"/>
            </w:tcBorders>
          </w:tcPr>
          <w:p w14:paraId="143E5952" w14:textId="77777777" w:rsidR="00F63659" w:rsidRDefault="00F63659" w:rsidP="00CC7A1D">
            <w:pPr>
              <w:widowControl w:val="0"/>
              <w:tabs>
                <w:tab w:val="left" w:pos="550"/>
              </w:tabs>
              <w:autoSpaceDE w:val="0"/>
              <w:adjustRightInd w:val="0"/>
              <w:spacing w:after="0" w:line="240" w:lineRule="auto"/>
              <w:jc w:val="center"/>
              <w:rPr>
                <w:rFonts w:cs="Calibri"/>
                <w:color w:val="0D0D0D"/>
                <w:kern w:val="2"/>
                <w:sz w:val="18"/>
                <w:szCs w:val="18"/>
                <w:lang w:val="en-US"/>
              </w:rPr>
            </w:pPr>
            <w:r>
              <w:rPr>
                <w:rFonts w:cs="Calibri"/>
                <w:b/>
                <w:bCs/>
                <w:color w:val="0D0D0D"/>
                <w:kern w:val="2"/>
                <w:sz w:val="18"/>
                <w:szCs w:val="18"/>
                <w:lang w:val="en-US"/>
              </w:rPr>
              <w:t xml:space="preserve">                            -</w:t>
            </w:r>
          </w:p>
        </w:tc>
        <w:tc>
          <w:tcPr>
            <w:tcW w:w="1252" w:type="dxa"/>
            <w:tcBorders>
              <w:top w:val="nil"/>
              <w:left w:val="nil"/>
              <w:bottom w:val="nil"/>
              <w:right w:val="nil"/>
            </w:tcBorders>
          </w:tcPr>
          <w:p w14:paraId="36F5515E"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b/>
                <w:bCs/>
                <w:color w:val="0D0D0D"/>
                <w:kern w:val="2"/>
                <w:sz w:val="18"/>
                <w:szCs w:val="18"/>
                <w:lang w:val="en-US"/>
              </w:rPr>
              <w:t>-</w:t>
            </w:r>
          </w:p>
        </w:tc>
      </w:tr>
      <w:tr w:rsidR="00F63659" w14:paraId="1857A547" w14:textId="77777777" w:rsidTr="00CC7A1D">
        <w:trPr>
          <w:trHeight w:val="144"/>
        </w:trPr>
        <w:tc>
          <w:tcPr>
            <w:tcW w:w="3483" w:type="dxa"/>
            <w:tcBorders>
              <w:top w:val="nil"/>
              <w:left w:val="nil"/>
              <w:bottom w:val="nil"/>
              <w:right w:val="nil"/>
            </w:tcBorders>
          </w:tcPr>
          <w:p w14:paraId="239D6194" w14:textId="77777777" w:rsidR="00F63659" w:rsidRDefault="00F63659" w:rsidP="00CC7A1D">
            <w:pPr>
              <w:widowControl w:val="0"/>
              <w:tabs>
                <w:tab w:val="left" w:pos="550"/>
              </w:tabs>
              <w:autoSpaceDE w:val="0"/>
              <w:adjustRightInd w:val="0"/>
              <w:spacing w:after="0" w:line="240" w:lineRule="auto"/>
              <w:jc w:val="both"/>
              <w:rPr>
                <w:rFonts w:cs="Calibri"/>
                <w:color w:val="0D0D0D"/>
                <w:kern w:val="2"/>
                <w:sz w:val="18"/>
                <w:szCs w:val="18"/>
                <w:lang w:val="en-US"/>
              </w:rPr>
            </w:pPr>
            <w:r>
              <w:rPr>
                <w:rFonts w:cs="Calibri"/>
                <w:color w:val="0D0D0D"/>
                <w:kern w:val="2"/>
                <w:sz w:val="18"/>
                <w:szCs w:val="18"/>
                <w:lang w:val="en-US"/>
              </w:rPr>
              <w:t>Total comprehensive loss for the year</w:t>
            </w:r>
          </w:p>
        </w:tc>
        <w:tc>
          <w:tcPr>
            <w:tcW w:w="1309" w:type="dxa"/>
            <w:tcBorders>
              <w:top w:val="nil"/>
              <w:left w:val="nil"/>
              <w:bottom w:val="single" w:sz="4" w:space="0" w:color="auto"/>
              <w:right w:val="nil"/>
            </w:tcBorders>
          </w:tcPr>
          <w:p w14:paraId="67B53491"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w:t>
            </w:r>
          </w:p>
        </w:tc>
        <w:tc>
          <w:tcPr>
            <w:tcW w:w="1554" w:type="dxa"/>
            <w:tcBorders>
              <w:top w:val="nil"/>
              <w:left w:val="nil"/>
              <w:bottom w:val="single" w:sz="4" w:space="0" w:color="auto"/>
              <w:right w:val="nil"/>
            </w:tcBorders>
          </w:tcPr>
          <w:p w14:paraId="2DAE9BA8"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w:t>
            </w:r>
          </w:p>
        </w:tc>
        <w:tc>
          <w:tcPr>
            <w:tcW w:w="1560" w:type="dxa"/>
            <w:tcBorders>
              <w:top w:val="nil"/>
              <w:left w:val="nil"/>
              <w:bottom w:val="single" w:sz="4" w:space="0" w:color="auto"/>
              <w:right w:val="nil"/>
            </w:tcBorders>
          </w:tcPr>
          <w:p w14:paraId="1E9654F9"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(39,338)</w:t>
            </w:r>
          </w:p>
        </w:tc>
        <w:tc>
          <w:tcPr>
            <w:tcW w:w="1252" w:type="dxa"/>
            <w:tcBorders>
              <w:top w:val="nil"/>
              <w:left w:val="nil"/>
              <w:bottom w:val="single" w:sz="4" w:space="0" w:color="auto"/>
              <w:right w:val="nil"/>
            </w:tcBorders>
          </w:tcPr>
          <w:p w14:paraId="08469F3D"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b/>
                <w:bCs/>
                <w:color w:val="0D0D0D"/>
                <w:kern w:val="2"/>
                <w:sz w:val="18"/>
                <w:szCs w:val="18"/>
                <w:lang w:val="en-US"/>
              </w:rPr>
              <w:t>(39,338)</w:t>
            </w:r>
          </w:p>
        </w:tc>
      </w:tr>
      <w:tr w:rsidR="00F63659" w14:paraId="3D83784D" w14:textId="77777777" w:rsidTr="00CC7A1D">
        <w:tblPrEx>
          <w:tblBorders>
            <w:top w:val="single" w:sz="4" w:space="0" w:color="000000"/>
            <w:left w:val="single" w:sz="4" w:space="0" w:color="000000"/>
            <w:bottom w:val="single" w:sz="4" w:space="0" w:color="000000"/>
            <w:right w:val="single" w:sz="4" w:space="0" w:color="000000"/>
          </w:tblBorders>
        </w:tblPrEx>
        <w:trPr>
          <w:trHeight w:val="282"/>
        </w:trPr>
        <w:tc>
          <w:tcPr>
            <w:tcW w:w="3483" w:type="dxa"/>
            <w:tcBorders>
              <w:top w:val="nil"/>
              <w:left w:val="nil"/>
              <w:bottom w:val="nil"/>
              <w:right w:val="nil"/>
            </w:tcBorders>
          </w:tcPr>
          <w:p w14:paraId="756C5E85" w14:textId="77777777" w:rsidR="00F63659" w:rsidRDefault="00F63659" w:rsidP="00CC7A1D">
            <w:pPr>
              <w:widowControl w:val="0"/>
              <w:tabs>
                <w:tab w:val="left" w:pos="550"/>
              </w:tabs>
              <w:autoSpaceDE w:val="0"/>
              <w:adjustRightInd w:val="0"/>
              <w:spacing w:after="0" w:line="240" w:lineRule="auto"/>
              <w:jc w:val="both"/>
              <w:rPr>
                <w:rFonts w:cs="Calibri"/>
                <w:b/>
                <w:bCs/>
                <w:color w:val="0D0D0D"/>
                <w:kern w:val="2"/>
                <w:sz w:val="18"/>
                <w:szCs w:val="18"/>
                <w:lang w:val="en-US"/>
              </w:rPr>
            </w:pPr>
            <w:r>
              <w:rPr>
                <w:rFonts w:cs="Calibri"/>
                <w:b/>
                <w:bCs/>
                <w:color w:val="0D0D0D"/>
                <w:kern w:val="2"/>
                <w:sz w:val="18"/>
                <w:szCs w:val="18"/>
                <w:lang w:val="en-US"/>
              </w:rPr>
              <w:t>Balance at 31 January 2020</w:t>
            </w:r>
          </w:p>
        </w:tc>
        <w:tc>
          <w:tcPr>
            <w:tcW w:w="1309" w:type="dxa"/>
            <w:tcBorders>
              <w:top w:val="single" w:sz="4" w:space="0" w:color="auto"/>
              <w:left w:val="nil"/>
              <w:bottom w:val="nil"/>
              <w:right w:val="nil"/>
            </w:tcBorders>
          </w:tcPr>
          <w:p w14:paraId="59730A54"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145,500</w:t>
            </w:r>
          </w:p>
        </w:tc>
        <w:tc>
          <w:tcPr>
            <w:tcW w:w="1554" w:type="dxa"/>
            <w:tcBorders>
              <w:top w:val="single" w:sz="4" w:space="0" w:color="auto"/>
              <w:left w:val="nil"/>
              <w:bottom w:val="nil"/>
              <w:right w:val="nil"/>
            </w:tcBorders>
          </w:tcPr>
          <w:p w14:paraId="2D6015A7"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54,500</w:t>
            </w:r>
          </w:p>
        </w:tc>
        <w:tc>
          <w:tcPr>
            <w:tcW w:w="1560" w:type="dxa"/>
            <w:tcBorders>
              <w:top w:val="single" w:sz="4" w:space="0" w:color="auto"/>
              <w:left w:val="nil"/>
              <w:bottom w:val="nil"/>
              <w:right w:val="nil"/>
            </w:tcBorders>
          </w:tcPr>
          <w:p w14:paraId="5A2B790A"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(175,695)</w:t>
            </w:r>
          </w:p>
        </w:tc>
        <w:tc>
          <w:tcPr>
            <w:tcW w:w="1252" w:type="dxa"/>
            <w:tcBorders>
              <w:top w:val="single" w:sz="4" w:space="0" w:color="auto"/>
              <w:left w:val="nil"/>
              <w:bottom w:val="nil"/>
              <w:right w:val="nil"/>
            </w:tcBorders>
          </w:tcPr>
          <w:p w14:paraId="50CF5883" w14:textId="77777777" w:rsidR="00F63659" w:rsidRDefault="00F63659" w:rsidP="00CC7A1D">
            <w:pPr>
              <w:widowControl w:val="0"/>
              <w:tabs>
                <w:tab w:val="left" w:pos="550"/>
              </w:tabs>
              <w:autoSpaceDE w:val="0"/>
              <w:adjustRightInd w:val="0"/>
              <w:spacing w:after="0" w:line="240" w:lineRule="auto"/>
              <w:jc w:val="center"/>
              <w:rPr>
                <w:rFonts w:cs="Calibri"/>
                <w:b/>
                <w:bCs/>
                <w:color w:val="0D0D0D"/>
                <w:kern w:val="2"/>
                <w:sz w:val="18"/>
                <w:szCs w:val="18"/>
                <w:lang w:val="en-US"/>
              </w:rPr>
            </w:pPr>
            <w:r>
              <w:rPr>
                <w:rFonts w:cs="Calibri"/>
                <w:b/>
                <w:bCs/>
                <w:color w:val="0D0D0D"/>
                <w:kern w:val="2"/>
                <w:sz w:val="18"/>
                <w:szCs w:val="18"/>
                <w:lang w:val="en-US"/>
              </w:rPr>
              <w:t xml:space="preserve">          24,305</w:t>
            </w:r>
          </w:p>
        </w:tc>
      </w:tr>
      <w:tr w:rsidR="00F63659" w14:paraId="50BC8253" w14:textId="77777777" w:rsidTr="00CC7A1D">
        <w:tblPrEx>
          <w:tblBorders>
            <w:top w:val="single" w:sz="4" w:space="0" w:color="000000"/>
            <w:left w:val="single" w:sz="4" w:space="0" w:color="000000"/>
            <w:bottom w:val="single" w:sz="4" w:space="0" w:color="000000"/>
            <w:right w:val="single" w:sz="4" w:space="0" w:color="000000"/>
          </w:tblBorders>
        </w:tblPrEx>
        <w:trPr>
          <w:trHeight w:val="282"/>
        </w:trPr>
        <w:tc>
          <w:tcPr>
            <w:tcW w:w="3483" w:type="dxa"/>
            <w:tcBorders>
              <w:top w:val="nil"/>
              <w:left w:val="nil"/>
              <w:bottom w:val="nil"/>
              <w:right w:val="nil"/>
            </w:tcBorders>
          </w:tcPr>
          <w:p w14:paraId="77AAEC39" w14:textId="77777777" w:rsidR="00F63659" w:rsidRDefault="00F63659" w:rsidP="00CC7A1D">
            <w:pPr>
              <w:widowControl w:val="0"/>
              <w:tabs>
                <w:tab w:val="left" w:pos="550"/>
              </w:tabs>
              <w:autoSpaceDE w:val="0"/>
              <w:adjustRightInd w:val="0"/>
              <w:spacing w:after="0" w:line="240" w:lineRule="auto"/>
              <w:jc w:val="both"/>
              <w:rPr>
                <w:rFonts w:cs="Calibri"/>
                <w:color w:val="0D0D0D"/>
                <w:kern w:val="2"/>
                <w:sz w:val="18"/>
                <w:szCs w:val="18"/>
                <w:lang w:val="en-US"/>
              </w:rPr>
            </w:pPr>
            <w:r>
              <w:rPr>
                <w:rFonts w:cs="Calibri"/>
                <w:color w:val="0D0D0D"/>
                <w:kern w:val="2"/>
                <w:sz w:val="18"/>
                <w:szCs w:val="18"/>
                <w:lang w:val="en-US"/>
              </w:rPr>
              <w:t>Shares issued</w:t>
            </w:r>
          </w:p>
        </w:tc>
        <w:tc>
          <w:tcPr>
            <w:tcW w:w="1309" w:type="dxa"/>
            <w:tcBorders>
              <w:top w:val="nil"/>
              <w:left w:val="nil"/>
              <w:bottom w:val="nil"/>
              <w:right w:val="nil"/>
            </w:tcBorders>
          </w:tcPr>
          <w:p w14:paraId="73354722"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175,000</w:t>
            </w:r>
          </w:p>
        </w:tc>
        <w:tc>
          <w:tcPr>
            <w:tcW w:w="1554" w:type="dxa"/>
            <w:tcBorders>
              <w:top w:val="nil"/>
              <w:left w:val="nil"/>
              <w:bottom w:val="nil"/>
              <w:right w:val="nil"/>
            </w:tcBorders>
          </w:tcPr>
          <w:p w14:paraId="5DF6CA14"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351,667</w:t>
            </w:r>
          </w:p>
        </w:tc>
        <w:tc>
          <w:tcPr>
            <w:tcW w:w="1560" w:type="dxa"/>
            <w:tcBorders>
              <w:top w:val="nil"/>
              <w:left w:val="nil"/>
              <w:bottom w:val="nil"/>
              <w:right w:val="nil"/>
            </w:tcBorders>
          </w:tcPr>
          <w:p w14:paraId="5FB33C4D"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w:t>
            </w:r>
          </w:p>
        </w:tc>
        <w:tc>
          <w:tcPr>
            <w:tcW w:w="1252" w:type="dxa"/>
            <w:tcBorders>
              <w:top w:val="nil"/>
              <w:left w:val="nil"/>
              <w:bottom w:val="nil"/>
              <w:right w:val="nil"/>
            </w:tcBorders>
          </w:tcPr>
          <w:p w14:paraId="7A1D4A68" w14:textId="77777777" w:rsidR="00F63659" w:rsidRDefault="00F63659" w:rsidP="00CC7A1D">
            <w:pPr>
              <w:widowControl w:val="0"/>
              <w:tabs>
                <w:tab w:val="left" w:pos="550"/>
              </w:tabs>
              <w:autoSpaceDE w:val="0"/>
              <w:adjustRightInd w:val="0"/>
              <w:spacing w:after="0" w:line="240" w:lineRule="auto"/>
              <w:jc w:val="center"/>
              <w:rPr>
                <w:rFonts w:cs="Calibri"/>
                <w:color w:val="0D0D0D"/>
                <w:kern w:val="2"/>
                <w:sz w:val="18"/>
                <w:szCs w:val="18"/>
                <w:lang w:val="en-US"/>
              </w:rPr>
            </w:pPr>
            <w:r>
              <w:rPr>
                <w:rFonts w:cs="Calibri"/>
                <w:color w:val="0D0D0D"/>
                <w:kern w:val="2"/>
                <w:sz w:val="18"/>
                <w:szCs w:val="18"/>
                <w:lang w:val="en-US"/>
              </w:rPr>
              <w:t xml:space="preserve">        526,667</w:t>
            </w:r>
          </w:p>
        </w:tc>
      </w:tr>
      <w:tr w:rsidR="00F63659" w14:paraId="77395813" w14:textId="77777777" w:rsidTr="00CC7A1D">
        <w:tblPrEx>
          <w:tblBorders>
            <w:top w:val="single" w:sz="4" w:space="0" w:color="000000"/>
            <w:left w:val="single" w:sz="4" w:space="0" w:color="000000"/>
            <w:bottom w:val="single" w:sz="4" w:space="0" w:color="000000"/>
            <w:right w:val="single" w:sz="4" w:space="0" w:color="000000"/>
          </w:tblBorders>
        </w:tblPrEx>
        <w:trPr>
          <w:trHeight w:val="139"/>
        </w:trPr>
        <w:tc>
          <w:tcPr>
            <w:tcW w:w="3483" w:type="dxa"/>
            <w:tcBorders>
              <w:top w:val="nil"/>
              <w:left w:val="nil"/>
              <w:bottom w:val="nil"/>
              <w:right w:val="nil"/>
            </w:tcBorders>
          </w:tcPr>
          <w:p w14:paraId="6AE07E72" w14:textId="77777777" w:rsidR="00F63659" w:rsidRDefault="00F63659" w:rsidP="00CC7A1D">
            <w:pPr>
              <w:widowControl w:val="0"/>
              <w:tabs>
                <w:tab w:val="left" w:pos="550"/>
                <w:tab w:val="left" w:pos="1176"/>
              </w:tabs>
              <w:autoSpaceDE w:val="0"/>
              <w:adjustRightInd w:val="0"/>
              <w:spacing w:after="0" w:line="240" w:lineRule="auto"/>
              <w:jc w:val="both"/>
              <w:rPr>
                <w:rFonts w:cs="Calibri"/>
                <w:color w:val="0D0D0D"/>
                <w:kern w:val="2"/>
                <w:sz w:val="18"/>
                <w:szCs w:val="18"/>
                <w:lang w:val="en-US"/>
              </w:rPr>
            </w:pPr>
            <w:r>
              <w:rPr>
                <w:rFonts w:cs="Calibri"/>
                <w:color w:val="0D0D0D"/>
                <w:kern w:val="2"/>
                <w:sz w:val="18"/>
                <w:szCs w:val="18"/>
                <w:lang w:val="en-US"/>
              </w:rPr>
              <w:t>Total comprehensive loss for the year</w:t>
            </w:r>
          </w:p>
        </w:tc>
        <w:tc>
          <w:tcPr>
            <w:tcW w:w="1309" w:type="dxa"/>
            <w:tcBorders>
              <w:top w:val="nil"/>
              <w:left w:val="nil"/>
              <w:bottom w:val="single" w:sz="4" w:space="0" w:color="auto"/>
              <w:right w:val="nil"/>
            </w:tcBorders>
          </w:tcPr>
          <w:p w14:paraId="415FC284"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w:t>
            </w:r>
          </w:p>
        </w:tc>
        <w:tc>
          <w:tcPr>
            <w:tcW w:w="1554" w:type="dxa"/>
            <w:tcBorders>
              <w:top w:val="nil"/>
              <w:left w:val="nil"/>
              <w:bottom w:val="single" w:sz="4" w:space="0" w:color="auto"/>
              <w:right w:val="nil"/>
            </w:tcBorders>
          </w:tcPr>
          <w:p w14:paraId="11B61966"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color w:val="0D0D0D"/>
                <w:kern w:val="2"/>
                <w:sz w:val="18"/>
                <w:szCs w:val="18"/>
                <w:lang w:val="en-US"/>
              </w:rPr>
              <w:t>-</w:t>
            </w:r>
          </w:p>
        </w:tc>
        <w:tc>
          <w:tcPr>
            <w:tcW w:w="1560" w:type="dxa"/>
            <w:tcBorders>
              <w:top w:val="nil"/>
              <w:left w:val="nil"/>
              <w:bottom w:val="single" w:sz="4" w:space="0" w:color="auto"/>
              <w:right w:val="nil"/>
            </w:tcBorders>
          </w:tcPr>
          <w:p w14:paraId="11F9108F"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color w:val="0D0D0D"/>
                <w:kern w:val="2"/>
                <w:sz w:val="18"/>
                <w:szCs w:val="18"/>
                <w:lang w:val="en-US"/>
              </w:rPr>
              <w:t>(207,612)</w:t>
            </w:r>
          </w:p>
        </w:tc>
        <w:tc>
          <w:tcPr>
            <w:tcW w:w="1252" w:type="dxa"/>
            <w:tcBorders>
              <w:top w:val="nil"/>
              <w:left w:val="nil"/>
              <w:bottom w:val="single" w:sz="4" w:space="0" w:color="auto"/>
              <w:right w:val="nil"/>
            </w:tcBorders>
          </w:tcPr>
          <w:p w14:paraId="1AFD01C3"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r>
              <w:rPr>
                <w:rFonts w:cs="Calibri"/>
                <w:b/>
                <w:bCs/>
                <w:color w:val="0D0D0D"/>
                <w:kern w:val="2"/>
                <w:sz w:val="18"/>
                <w:szCs w:val="18"/>
                <w:lang w:val="en-US"/>
              </w:rPr>
              <w:t>(207,612)</w:t>
            </w:r>
          </w:p>
        </w:tc>
      </w:tr>
      <w:tr w:rsidR="00F63659" w14:paraId="3FF7073B" w14:textId="77777777" w:rsidTr="00CC7A1D">
        <w:tblPrEx>
          <w:tblBorders>
            <w:top w:val="single" w:sz="4" w:space="0" w:color="000000"/>
            <w:left w:val="single" w:sz="4" w:space="0" w:color="000000"/>
            <w:bottom w:val="single" w:sz="4" w:space="0" w:color="000000"/>
            <w:right w:val="single" w:sz="4" w:space="0" w:color="000000"/>
          </w:tblBorders>
        </w:tblPrEx>
        <w:trPr>
          <w:trHeight w:val="144"/>
        </w:trPr>
        <w:tc>
          <w:tcPr>
            <w:tcW w:w="3483" w:type="dxa"/>
            <w:tcBorders>
              <w:top w:val="nil"/>
              <w:left w:val="nil"/>
              <w:bottom w:val="nil"/>
              <w:right w:val="nil"/>
            </w:tcBorders>
          </w:tcPr>
          <w:p w14:paraId="6DF4C09E" w14:textId="77777777" w:rsidR="00F63659" w:rsidRDefault="00F63659" w:rsidP="00CC7A1D">
            <w:pPr>
              <w:widowControl w:val="0"/>
              <w:tabs>
                <w:tab w:val="left" w:pos="550"/>
              </w:tabs>
              <w:autoSpaceDE w:val="0"/>
              <w:adjustRightInd w:val="0"/>
              <w:spacing w:after="0" w:line="240" w:lineRule="auto"/>
              <w:jc w:val="both"/>
              <w:rPr>
                <w:rFonts w:cs="Calibri"/>
                <w:color w:val="0D0D0D"/>
                <w:kern w:val="2"/>
                <w:sz w:val="18"/>
                <w:szCs w:val="18"/>
                <w:lang w:val="en-US"/>
              </w:rPr>
            </w:pPr>
            <w:r>
              <w:rPr>
                <w:rFonts w:cs="Calibri"/>
                <w:b/>
                <w:bCs/>
                <w:color w:val="0D0D0D"/>
                <w:kern w:val="2"/>
                <w:sz w:val="18"/>
                <w:szCs w:val="18"/>
                <w:lang w:val="en-US"/>
              </w:rPr>
              <w:t>Balance at 31 January 2021</w:t>
            </w:r>
          </w:p>
        </w:tc>
        <w:tc>
          <w:tcPr>
            <w:tcW w:w="1309" w:type="dxa"/>
            <w:tcBorders>
              <w:top w:val="single" w:sz="4" w:space="0" w:color="auto"/>
              <w:left w:val="nil"/>
              <w:bottom w:val="nil"/>
              <w:right w:val="nil"/>
            </w:tcBorders>
          </w:tcPr>
          <w:p w14:paraId="618E6701"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b/>
                <w:bCs/>
                <w:color w:val="0D0D0D"/>
                <w:kern w:val="2"/>
                <w:sz w:val="18"/>
                <w:szCs w:val="18"/>
                <w:lang w:val="en-US"/>
              </w:rPr>
              <w:t>320,500</w:t>
            </w:r>
          </w:p>
        </w:tc>
        <w:tc>
          <w:tcPr>
            <w:tcW w:w="1554" w:type="dxa"/>
            <w:tcBorders>
              <w:top w:val="single" w:sz="4" w:space="0" w:color="auto"/>
              <w:left w:val="nil"/>
              <w:bottom w:val="nil"/>
              <w:right w:val="nil"/>
            </w:tcBorders>
          </w:tcPr>
          <w:p w14:paraId="2F128A13"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b/>
                <w:bCs/>
                <w:color w:val="0D0D0D"/>
                <w:kern w:val="2"/>
                <w:sz w:val="18"/>
                <w:szCs w:val="18"/>
                <w:lang w:val="en-US"/>
              </w:rPr>
              <w:t>406,167</w:t>
            </w:r>
          </w:p>
        </w:tc>
        <w:tc>
          <w:tcPr>
            <w:tcW w:w="1560" w:type="dxa"/>
            <w:tcBorders>
              <w:top w:val="single" w:sz="4" w:space="0" w:color="auto"/>
              <w:left w:val="nil"/>
              <w:bottom w:val="nil"/>
              <w:right w:val="nil"/>
            </w:tcBorders>
          </w:tcPr>
          <w:p w14:paraId="7547C647" w14:textId="77777777" w:rsidR="00F63659" w:rsidRDefault="00F63659" w:rsidP="00CC7A1D">
            <w:pPr>
              <w:widowControl w:val="0"/>
              <w:tabs>
                <w:tab w:val="left" w:pos="550"/>
              </w:tabs>
              <w:autoSpaceDE w:val="0"/>
              <w:adjustRightInd w:val="0"/>
              <w:spacing w:after="0" w:line="240" w:lineRule="auto"/>
              <w:jc w:val="right"/>
              <w:rPr>
                <w:rFonts w:cs="Calibri"/>
                <w:color w:val="0D0D0D"/>
                <w:kern w:val="2"/>
                <w:sz w:val="18"/>
                <w:szCs w:val="18"/>
                <w:lang w:val="en-US"/>
              </w:rPr>
            </w:pPr>
            <w:r>
              <w:rPr>
                <w:rFonts w:cs="Calibri"/>
                <w:b/>
                <w:bCs/>
                <w:color w:val="0D0D0D"/>
                <w:kern w:val="2"/>
                <w:sz w:val="18"/>
                <w:szCs w:val="18"/>
                <w:lang w:val="en-US"/>
              </w:rPr>
              <w:t>(383,307)</w:t>
            </w:r>
          </w:p>
        </w:tc>
        <w:tc>
          <w:tcPr>
            <w:tcW w:w="1252" w:type="dxa"/>
            <w:tcBorders>
              <w:top w:val="single" w:sz="4" w:space="0" w:color="auto"/>
              <w:left w:val="nil"/>
              <w:bottom w:val="nil"/>
              <w:right w:val="nil"/>
            </w:tcBorders>
          </w:tcPr>
          <w:p w14:paraId="5D8E87A7" w14:textId="77777777" w:rsidR="00F63659" w:rsidRDefault="00F63659" w:rsidP="00CC7A1D">
            <w:pPr>
              <w:widowControl w:val="0"/>
              <w:tabs>
                <w:tab w:val="left" w:pos="550"/>
              </w:tabs>
              <w:autoSpaceDE w:val="0"/>
              <w:adjustRightInd w:val="0"/>
              <w:spacing w:after="0" w:line="240" w:lineRule="auto"/>
              <w:jc w:val="center"/>
              <w:rPr>
                <w:rFonts w:cs="Calibri"/>
                <w:color w:val="0D0D0D"/>
                <w:kern w:val="2"/>
                <w:sz w:val="18"/>
                <w:szCs w:val="18"/>
                <w:lang w:val="en-US"/>
              </w:rPr>
            </w:pPr>
            <w:r>
              <w:rPr>
                <w:rFonts w:cs="Calibri"/>
                <w:b/>
                <w:bCs/>
                <w:color w:val="0D0D0D"/>
                <w:kern w:val="2"/>
                <w:sz w:val="18"/>
                <w:szCs w:val="18"/>
                <w:lang w:val="en-US"/>
              </w:rPr>
              <w:t xml:space="preserve">        343,360</w:t>
            </w:r>
          </w:p>
        </w:tc>
      </w:tr>
      <w:tr w:rsidR="00F63659" w14:paraId="0D8BA74A" w14:textId="77777777" w:rsidTr="00CC7A1D">
        <w:tblPrEx>
          <w:tblBorders>
            <w:top w:val="single" w:sz="4" w:space="0" w:color="000000"/>
            <w:left w:val="single" w:sz="4" w:space="0" w:color="000000"/>
            <w:bottom w:val="single" w:sz="4" w:space="0" w:color="000000"/>
            <w:right w:val="single" w:sz="4" w:space="0" w:color="000000"/>
          </w:tblBorders>
        </w:tblPrEx>
        <w:trPr>
          <w:trHeight w:val="347"/>
        </w:trPr>
        <w:tc>
          <w:tcPr>
            <w:tcW w:w="3483" w:type="dxa"/>
            <w:tcBorders>
              <w:top w:val="nil"/>
              <w:left w:val="nil"/>
              <w:bottom w:val="nil"/>
              <w:right w:val="nil"/>
            </w:tcBorders>
          </w:tcPr>
          <w:p w14:paraId="02DD3C0D" w14:textId="77777777" w:rsidR="00F63659" w:rsidRDefault="00F63659" w:rsidP="00CC7A1D">
            <w:pPr>
              <w:widowControl w:val="0"/>
              <w:tabs>
                <w:tab w:val="left" w:pos="550"/>
              </w:tabs>
              <w:autoSpaceDE w:val="0"/>
              <w:adjustRightInd w:val="0"/>
              <w:spacing w:after="0" w:line="240" w:lineRule="auto"/>
              <w:jc w:val="both"/>
              <w:rPr>
                <w:rFonts w:cs="Calibri"/>
                <w:b/>
                <w:bCs/>
                <w:color w:val="0D0D0D"/>
                <w:kern w:val="2"/>
                <w:sz w:val="18"/>
                <w:szCs w:val="18"/>
                <w:lang w:val="en-US"/>
              </w:rPr>
            </w:pPr>
          </w:p>
        </w:tc>
        <w:tc>
          <w:tcPr>
            <w:tcW w:w="1309" w:type="dxa"/>
            <w:tcBorders>
              <w:top w:val="single" w:sz="4" w:space="0" w:color="auto"/>
              <w:left w:val="nil"/>
              <w:bottom w:val="nil"/>
              <w:right w:val="nil"/>
            </w:tcBorders>
          </w:tcPr>
          <w:p w14:paraId="7C557B7C"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p>
        </w:tc>
        <w:tc>
          <w:tcPr>
            <w:tcW w:w="1554" w:type="dxa"/>
            <w:tcBorders>
              <w:top w:val="single" w:sz="4" w:space="0" w:color="auto"/>
              <w:left w:val="nil"/>
              <w:bottom w:val="nil"/>
              <w:right w:val="nil"/>
            </w:tcBorders>
          </w:tcPr>
          <w:p w14:paraId="766F502A"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p>
        </w:tc>
        <w:tc>
          <w:tcPr>
            <w:tcW w:w="1560" w:type="dxa"/>
            <w:tcBorders>
              <w:top w:val="single" w:sz="4" w:space="0" w:color="auto"/>
              <w:left w:val="nil"/>
              <w:bottom w:val="nil"/>
              <w:right w:val="nil"/>
            </w:tcBorders>
          </w:tcPr>
          <w:p w14:paraId="27633F70"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p>
        </w:tc>
        <w:tc>
          <w:tcPr>
            <w:tcW w:w="1252" w:type="dxa"/>
            <w:tcBorders>
              <w:top w:val="single" w:sz="4" w:space="0" w:color="auto"/>
              <w:left w:val="nil"/>
              <w:bottom w:val="nil"/>
              <w:right w:val="nil"/>
            </w:tcBorders>
          </w:tcPr>
          <w:p w14:paraId="25857FFC" w14:textId="77777777" w:rsidR="00F63659" w:rsidRDefault="00F63659" w:rsidP="00CC7A1D">
            <w:pPr>
              <w:widowControl w:val="0"/>
              <w:tabs>
                <w:tab w:val="left" w:pos="550"/>
              </w:tabs>
              <w:autoSpaceDE w:val="0"/>
              <w:adjustRightInd w:val="0"/>
              <w:spacing w:after="0" w:line="240" w:lineRule="auto"/>
              <w:jc w:val="right"/>
              <w:rPr>
                <w:rFonts w:cs="Calibri"/>
                <w:b/>
                <w:bCs/>
                <w:color w:val="0D0D0D"/>
                <w:kern w:val="2"/>
                <w:sz w:val="18"/>
                <w:szCs w:val="18"/>
                <w:lang w:val="en-US"/>
              </w:rPr>
            </w:pPr>
          </w:p>
        </w:tc>
      </w:tr>
    </w:tbl>
    <w:p w14:paraId="419D72F6" w14:textId="77777777" w:rsidR="00F63659" w:rsidRDefault="00F63659" w:rsidP="00F63659">
      <w:pPr>
        <w:widowControl w:val="0"/>
        <w:tabs>
          <w:tab w:val="right" w:pos="550"/>
          <w:tab w:val="left" w:pos="5245"/>
          <w:tab w:val="right" w:pos="7371"/>
        </w:tabs>
        <w:autoSpaceDE w:val="0"/>
        <w:adjustRightInd w:val="0"/>
        <w:spacing w:before="120" w:after="120" w:line="240" w:lineRule="auto"/>
        <w:jc w:val="both"/>
        <w:rPr>
          <w:rFonts w:cs="Calibri"/>
          <w:b/>
          <w:bCs/>
          <w:kern w:val="2"/>
          <w:sz w:val="18"/>
          <w:szCs w:val="18"/>
        </w:rPr>
      </w:pPr>
    </w:p>
    <w:p w14:paraId="5050203B" w14:textId="77777777" w:rsidR="00F63659" w:rsidRDefault="00F63659" w:rsidP="00F63659">
      <w:pPr>
        <w:autoSpaceDE w:val="0"/>
        <w:adjustRightInd w:val="0"/>
        <w:spacing w:line="252" w:lineRule="auto"/>
        <w:rPr>
          <w:rFonts w:cs="Calibri"/>
          <w:kern w:val="2"/>
          <w:sz w:val="18"/>
          <w:szCs w:val="18"/>
        </w:rPr>
      </w:pPr>
      <w:r>
        <w:rPr>
          <w:rFonts w:cs="Calibri"/>
          <w:kern w:val="2"/>
          <w:sz w:val="18"/>
          <w:szCs w:val="18"/>
        </w:rPr>
        <w:br w:type="page"/>
      </w:r>
    </w:p>
    <w:p w14:paraId="2CF1619C"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lastRenderedPageBreak/>
        <w:t>STATEMENT OF CASHFLOWS</w:t>
      </w:r>
    </w:p>
    <w:p w14:paraId="433A5FE9"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t>for the year ended 31 January 2021</w:t>
      </w:r>
    </w:p>
    <w:p w14:paraId="317E3700" w14:textId="77777777" w:rsidR="00F63659" w:rsidRDefault="00F63659" w:rsidP="00F63659">
      <w:pPr>
        <w:widowControl w:val="0"/>
        <w:autoSpaceDE w:val="0"/>
        <w:adjustRightInd w:val="0"/>
        <w:spacing w:before="120" w:after="120" w:line="240" w:lineRule="auto"/>
        <w:jc w:val="both"/>
        <w:rPr>
          <w:rFonts w:cs="Calibri"/>
          <w:color w:val="000000"/>
          <w:kern w:val="2"/>
          <w:sz w:val="18"/>
          <w:szCs w:val="18"/>
        </w:rPr>
      </w:pPr>
    </w:p>
    <w:tbl>
      <w:tblPr>
        <w:tblW w:w="0" w:type="auto"/>
        <w:tblLayout w:type="fixed"/>
        <w:tblLook w:val="0000" w:firstRow="0" w:lastRow="0" w:firstColumn="0" w:lastColumn="0" w:noHBand="0" w:noVBand="0"/>
      </w:tblPr>
      <w:tblGrid>
        <w:gridCol w:w="3969"/>
        <w:gridCol w:w="475"/>
        <w:gridCol w:w="236"/>
        <w:gridCol w:w="277"/>
        <w:gridCol w:w="984"/>
        <w:gridCol w:w="8"/>
        <w:gridCol w:w="1551"/>
        <w:gridCol w:w="8"/>
        <w:gridCol w:w="851"/>
        <w:gridCol w:w="1515"/>
        <w:gridCol w:w="36"/>
      </w:tblGrid>
      <w:tr w:rsidR="00F63659" w14:paraId="6E73AA2D" w14:textId="77777777" w:rsidTr="00CC7A1D">
        <w:trPr>
          <w:gridAfter w:val="1"/>
          <w:wAfter w:w="36" w:type="dxa"/>
          <w:trHeight w:val="250"/>
        </w:trPr>
        <w:tc>
          <w:tcPr>
            <w:tcW w:w="3969" w:type="dxa"/>
            <w:tcBorders>
              <w:top w:val="nil"/>
              <w:left w:val="nil"/>
              <w:bottom w:val="nil"/>
              <w:right w:val="nil"/>
            </w:tcBorders>
            <w:vAlign w:val="bottom"/>
          </w:tcPr>
          <w:p w14:paraId="5210CE2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475" w:type="dxa"/>
            <w:tcBorders>
              <w:top w:val="nil"/>
              <w:left w:val="nil"/>
              <w:bottom w:val="nil"/>
              <w:right w:val="nil"/>
            </w:tcBorders>
          </w:tcPr>
          <w:p w14:paraId="69C23949"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36" w:type="dxa"/>
            <w:tcBorders>
              <w:top w:val="nil"/>
              <w:left w:val="nil"/>
              <w:bottom w:val="nil"/>
              <w:right w:val="nil"/>
            </w:tcBorders>
            <w:vAlign w:val="bottom"/>
          </w:tcPr>
          <w:p w14:paraId="5B1C9469"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77" w:type="dxa"/>
            <w:tcBorders>
              <w:top w:val="nil"/>
              <w:left w:val="nil"/>
              <w:bottom w:val="nil"/>
              <w:right w:val="nil"/>
            </w:tcBorders>
          </w:tcPr>
          <w:p w14:paraId="727679C0"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92" w:type="dxa"/>
            <w:gridSpan w:val="2"/>
            <w:tcBorders>
              <w:top w:val="nil"/>
              <w:left w:val="nil"/>
              <w:bottom w:val="nil"/>
              <w:right w:val="nil"/>
            </w:tcBorders>
            <w:vAlign w:val="bottom"/>
          </w:tcPr>
          <w:p w14:paraId="4629B362"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559" w:type="dxa"/>
            <w:gridSpan w:val="2"/>
            <w:tcBorders>
              <w:top w:val="nil"/>
              <w:left w:val="nil"/>
              <w:bottom w:val="nil"/>
              <w:right w:val="nil"/>
            </w:tcBorders>
            <w:vAlign w:val="bottom"/>
          </w:tcPr>
          <w:p w14:paraId="48D3A186"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Year ended</w:t>
            </w:r>
          </w:p>
          <w:p w14:paraId="79E8733C"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31 January 2021</w:t>
            </w:r>
          </w:p>
        </w:tc>
        <w:tc>
          <w:tcPr>
            <w:tcW w:w="851" w:type="dxa"/>
            <w:tcBorders>
              <w:top w:val="nil"/>
              <w:left w:val="nil"/>
              <w:bottom w:val="nil"/>
              <w:right w:val="nil"/>
            </w:tcBorders>
          </w:tcPr>
          <w:p w14:paraId="6599B1AA" w14:textId="77777777" w:rsidR="00F63659" w:rsidRDefault="00F63659" w:rsidP="00CC7A1D">
            <w:pPr>
              <w:widowControl w:val="0"/>
              <w:autoSpaceDE w:val="0"/>
              <w:adjustRightInd w:val="0"/>
              <w:spacing w:after="0" w:line="240" w:lineRule="auto"/>
              <w:ind w:right="-108"/>
              <w:jc w:val="right"/>
              <w:rPr>
                <w:rFonts w:cs="Calibri"/>
                <w:b/>
                <w:bCs/>
                <w:color w:val="000000"/>
                <w:kern w:val="2"/>
                <w:sz w:val="18"/>
                <w:szCs w:val="18"/>
              </w:rPr>
            </w:pPr>
          </w:p>
        </w:tc>
        <w:tc>
          <w:tcPr>
            <w:tcW w:w="1515" w:type="dxa"/>
            <w:tcBorders>
              <w:top w:val="nil"/>
              <w:left w:val="nil"/>
              <w:bottom w:val="nil"/>
              <w:right w:val="nil"/>
            </w:tcBorders>
            <w:vAlign w:val="bottom"/>
          </w:tcPr>
          <w:p w14:paraId="5441C41D"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Year ended</w:t>
            </w:r>
          </w:p>
          <w:p w14:paraId="7A0D61F3"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31 January 2020</w:t>
            </w:r>
          </w:p>
        </w:tc>
      </w:tr>
      <w:tr w:rsidR="00F63659" w14:paraId="67E67791" w14:textId="77777777" w:rsidTr="00CC7A1D">
        <w:trPr>
          <w:trHeight w:val="250"/>
        </w:trPr>
        <w:tc>
          <w:tcPr>
            <w:tcW w:w="3969" w:type="dxa"/>
            <w:tcBorders>
              <w:top w:val="nil"/>
              <w:left w:val="nil"/>
              <w:bottom w:val="nil"/>
              <w:right w:val="nil"/>
            </w:tcBorders>
            <w:vAlign w:val="bottom"/>
          </w:tcPr>
          <w:p w14:paraId="665466C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475" w:type="dxa"/>
            <w:tcBorders>
              <w:top w:val="nil"/>
              <w:left w:val="nil"/>
              <w:bottom w:val="nil"/>
              <w:right w:val="nil"/>
            </w:tcBorders>
          </w:tcPr>
          <w:p w14:paraId="4EF79F75"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36" w:type="dxa"/>
            <w:tcBorders>
              <w:top w:val="nil"/>
              <w:left w:val="nil"/>
              <w:bottom w:val="nil"/>
              <w:right w:val="nil"/>
            </w:tcBorders>
            <w:vAlign w:val="bottom"/>
          </w:tcPr>
          <w:p w14:paraId="0CAD2A1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77" w:type="dxa"/>
            <w:tcBorders>
              <w:top w:val="nil"/>
              <w:left w:val="nil"/>
              <w:bottom w:val="nil"/>
              <w:right w:val="nil"/>
            </w:tcBorders>
            <w:vAlign w:val="bottom"/>
          </w:tcPr>
          <w:p w14:paraId="6A338A7E"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84" w:type="dxa"/>
            <w:tcBorders>
              <w:top w:val="nil"/>
              <w:left w:val="nil"/>
              <w:bottom w:val="nil"/>
              <w:right w:val="nil"/>
            </w:tcBorders>
            <w:vAlign w:val="bottom"/>
          </w:tcPr>
          <w:p w14:paraId="5654E61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559" w:type="dxa"/>
            <w:gridSpan w:val="2"/>
            <w:tcBorders>
              <w:top w:val="nil"/>
              <w:left w:val="nil"/>
              <w:bottom w:val="nil"/>
              <w:right w:val="nil"/>
            </w:tcBorders>
            <w:vAlign w:val="bottom"/>
          </w:tcPr>
          <w:p w14:paraId="120B7319"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w:t>
            </w:r>
          </w:p>
        </w:tc>
        <w:tc>
          <w:tcPr>
            <w:tcW w:w="859" w:type="dxa"/>
            <w:gridSpan w:val="2"/>
            <w:tcBorders>
              <w:top w:val="nil"/>
              <w:left w:val="nil"/>
              <w:bottom w:val="nil"/>
              <w:right w:val="nil"/>
            </w:tcBorders>
            <w:vAlign w:val="bottom"/>
          </w:tcPr>
          <w:p w14:paraId="5C4B33C9"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551" w:type="dxa"/>
            <w:gridSpan w:val="2"/>
            <w:tcBorders>
              <w:top w:val="nil"/>
              <w:left w:val="nil"/>
              <w:bottom w:val="nil"/>
              <w:right w:val="nil"/>
            </w:tcBorders>
            <w:vAlign w:val="bottom"/>
          </w:tcPr>
          <w:p w14:paraId="4C0E9E94"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r>
              <w:rPr>
                <w:rFonts w:cs="Calibri"/>
                <w:b/>
                <w:bCs/>
                <w:color w:val="000000"/>
                <w:kern w:val="2"/>
                <w:sz w:val="18"/>
                <w:szCs w:val="18"/>
              </w:rPr>
              <w:t>£</w:t>
            </w:r>
          </w:p>
        </w:tc>
      </w:tr>
      <w:tr w:rsidR="00F63659" w14:paraId="48D2FC76" w14:textId="77777777" w:rsidTr="00CC7A1D">
        <w:trPr>
          <w:trHeight w:val="216"/>
        </w:trPr>
        <w:tc>
          <w:tcPr>
            <w:tcW w:w="3969" w:type="dxa"/>
            <w:tcBorders>
              <w:top w:val="nil"/>
              <w:left w:val="nil"/>
              <w:bottom w:val="nil"/>
              <w:right w:val="nil"/>
            </w:tcBorders>
            <w:vAlign w:val="bottom"/>
          </w:tcPr>
          <w:p w14:paraId="0F85F3C9"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p>
        </w:tc>
        <w:tc>
          <w:tcPr>
            <w:tcW w:w="475" w:type="dxa"/>
            <w:tcBorders>
              <w:top w:val="nil"/>
              <w:left w:val="nil"/>
              <w:bottom w:val="nil"/>
              <w:right w:val="nil"/>
            </w:tcBorders>
          </w:tcPr>
          <w:p w14:paraId="20E60E0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34B5229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23FD0B52"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3DA8040F"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71B080EC"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859" w:type="dxa"/>
            <w:gridSpan w:val="2"/>
            <w:tcBorders>
              <w:top w:val="nil"/>
              <w:left w:val="nil"/>
              <w:bottom w:val="nil"/>
              <w:right w:val="nil"/>
            </w:tcBorders>
          </w:tcPr>
          <w:p w14:paraId="1B4ED6E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nil"/>
              <w:right w:val="nil"/>
            </w:tcBorders>
            <w:vAlign w:val="bottom"/>
          </w:tcPr>
          <w:p w14:paraId="3A96DE17"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2598F721" w14:textId="77777777" w:rsidTr="00CC7A1D">
        <w:trPr>
          <w:trHeight w:val="216"/>
        </w:trPr>
        <w:tc>
          <w:tcPr>
            <w:tcW w:w="3969" w:type="dxa"/>
            <w:tcBorders>
              <w:top w:val="nil"/>
              <w:left w:val="nil"/>
              <w:bottom w:val="nil"/>
              <w:right w:val="nil"/>
            </w:tcBorders>
            <w:vAlign w:val="bottom"/>
          </w:tcPr>
          <w:p w14:paraId="612C081E"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r>
              <w:rPr>
                <w:rFonts w:cs="Calibri"/>
                <w:b/>
                <w:bCs/>
                <w:color w:val="000000"/>
                <w:kern w:val="2"/>
                <w:sz w:val="18"/>
                <w:szCs w:val="18"/>
              </w:rPr>
              <w:t>Loss before tax</w:t>
            </w:r>
          </w:p>
        </w:tc>
        <w:tc>
          <w:tcPr>
            <w:tcW w:w="475" w:type="dxa"/>
            <w:tcBorders>
              <w:top w:val="nil"/>
              <w:left w:val="nil"/>
              <w:bottom w:val="nil"/>
              <w:right w:val="nil"/>
            </w:tcBorders>
          </w:tcPr>
          <w:p w14:paraId="71404B2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4A8FF25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0F51692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413B935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25908E2E"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(207,612)</w:t>
            </w:r>
          </w:p>
        </w:tc>
        <w:tc>
          <w:tcPr>
            <w:tcW w:w="859" w:type="dxa"/>
            <w:gridSpan w:val="2"/>
            <w:tcBorders>
              <w:top w:val="nil"/>
              <w:left w:val="nil"/>
              <w:bottom w:val="nil"/>
              <w:right w:val="nil"/>
            </w:tcBorders>
          </w:tcPr>
          <w:p w14:paraId="35AB542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nil"/>
              <w:right w:val="nil"/>
            </w:tcBorders>
            <w:vAlign w:val="bottom"/>
          </w:tcPr>
          <w:p w14:paraId="08C9178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(39,338)</w:t>
            </w:r>
          </w:p>
        </w:tc>
      </w:tr>
      <w:tr w:rsidR="00F63659" w14:paraId="15EAC776" w14:textId="77777777" w:rsidTr="00CC7A1D">
        <w:trPr>
          <w:trHeight w:val="216"/>
        </w:trPr>
        <w:tc>
          <w:tcPr>
            <w:tcW w:w="3969" w:type="dxa"/>
            <w:tcBorders>
              <w:top w:val="nil"/>
              <w:left w:val="nil"/>
              <w:bottom w:val="nil"/>
              <w:right w:val="nil"/>
            </w:tcBorders>
            <w:vAlign w:val="bottom"/>
          </w:tcPr>
          <w:p w14:paraId="784D7956" w14:textId="77777777" w:rsidR="00F63659" w:rsidRDefault="00F63659" w:rsidP="00CC7A1D">
            <w:pPr>
              <w:widowControl w:val="0"/>
              <w:autoSpaceDE w:val="0"/>
              <w:adjustRightInd w:val="0"/>
              <w:spacing w:after="0" w:line="240" w:lineRule="auto"/>
              <w:jc w:val="both"/>
              <w:rPr>
                <w:rFonts w:cs="Calibri"/>
                <w:i/>
                <w:iCs/>
                <w:color w:val="000000"/>
                <w:kern w:val="2"/>
                <w:sz w:val="18"/>
                <w:szCs w:val="18"/>
                <w:u w:val="single"/>
              </w:rPr>
            </w:pPr>
            <w:r>
              <w:rPr>
                <w:rFonts w:cs="Calibri"/>
                <w:i/>
                <w:iCs/>
                <w:color w:val="000000"/>
                <w:kern w:val="2"/>
                <w:sz w:val="18"/>
                <w:szCs w:val="18"/>
                <w:u w:val="single"/>
              </w:rPr>
              <w:t>Adjusted for:</w:t>
            </w:r>
          </w:p>
        </w:tc>
        <w:tc>
          <w:tcPr>
            <w:tcW w:w="475" w:type="dxa"/>
            <w:tcBorders>
              <w:top w:val="nil"/>
              <w:left w:val="nil"/>
              <w:bottom w:val="nil"/>
              <w:right w:val="nil"/>
            </w:tcBorders>
          </w:tcPr>
          <w:p w14:paraId="4F34DBF7"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39E77928"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001FD8F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60D41323"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42EF0C8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859" w:type="dxa"/>
            <w:gridSpan w:val="2"/>
            <w:tcBorders>
              <w:top w:val="nil"/>
              <w:left w:val="nil"/>
              <w:bottom w:val="nil"/>
              <w:right w:val="nil"/>
            </w:tcBorders>
          </w:tcPr>
          <w:p w14:paraId="67C0144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nil"/>
              <w:right w:val="nil"/>
            </w:tcBorders>
            <w:vAlign w:val="bottom"/>
          </w:tcPr>
          <w:p w14:paraId="4ED67F9F"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2E7B30EF" w14:textId="77777777" w:rsidTr="00CC7A1D">
        <w:trPr>
          <w:trHeight w:val="216"/>
        </w:trPr>
        <w:tc>
          <w:tcPr>
            <w:tcW w:w="3969" w:type="dxa"/>
            <w:tcBorders>
              <w:top w:val="nil"/>
              <w:left w:val="nil"/>
              <w:bottom w:val="nil"/>
              <w:right w:val="nil"/>
            </w:tcBorders>
            <w:vAlign w:val="bottom"/>
          </w:tcPr>
          <w:p w14:paraId="6AF2C565"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(Increase)/Decrease in trade and other receivables</w:t>
            </w:r>
          </w:p>
        </w:tc>
        <w:tc>
          <w:tcPr>
            <w:tcW w:w="475" w:type="dxa"/>
            <w:tcBorders>
              <w:top w:val="nil"/>
              <w:left w:val="nil"/>
              <w:bottom w:val="nil"/>
              <w:right w:val="nil"/>
            </w:tcBorders>
          </w:tcPr>
          <w:p w14:paraId="7E8B9120"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4B4B65F2"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2692CF5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692992C0"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7AEFAE88"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(25,191)</w:t>
            </w:r>
          </w:p>
        </w:tc>
        <w:tc>
          <w:tcPr>
            <w:tcW w:w="859" w:type="dxa"/>
            <w:gridSpan w:val="2"/>
            <w:tcBorders>
              <w:top w:val="nil"/>
              <w:left w:val="nil"/>
              <w:bottom w:val="nil"/>
              <w:right w:val="nil"/>
            </w:tcBorders>
          </w:tcPr>
          <w:p w14:paraId="58078EFE"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nil"/>
              <w:right w:val="nil"/>
            </w:tcBorders>
            <w:vAlign w:val="bottom"/>
          </w:tcPr>
          <w:p w14:paraId="35057C38"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r>
              <w:rPr>
                <w:rFonts w:cs="Calibri"/>
                <w:color w:val="000000"/>
                <w:kern w:val="2"/>
                <w:sz w:val="18"/>
                <w:szCs w:val="18"/>
              </w:rPr>
              <w:t xml:space="preserve">                            -</w:t>
            </w:r>
          </w:p>
        </w:tc>
      </w:tr>
      <w:tr w:rsidR="00F63659" w14:paraId="60F6F635" w14:textId="77777777" w:rsidTr="00CC7A1D">
        <w:trPr>
          <w:trHeight w:val="216"/>
        </w:trPr>
        <w:tc>
          <w:tcPr>
            <w:tcW w:w="3969" w:type="dxa"/>
            <w:tcBorders>
              <w:top w:val="nil"/>
              <w:left w:val="nil"/>
              <w:bottom w:val="nil"/>
              <w:right w:val="nil"/>
            </w:tcBorders>
            <w:vAlign w:val="bottom"/>
          </w:tcPr>
          <w:p w14:paraId="47110A54"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(Decrease)/Increase in trade creditors</w:t>
            </w:r>
          </w:p>
        </w:tc>
        <w:tc>
          <w:tcPr>
            <w:tcW w:w="475" w:type="dxa"/>
            <w:tcBorders>
              <w:top w:val="nil"/>
              <w:left w:val="nil"/>
              <w:bottom w:val="nil"/>
              <w:right w:val="nil"/>
            </w:tcBorders>
          </w:tcPr>
          <w:p w14:paraId="73C6199F"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11D1D230"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397944C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7C50F2EA"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single" w:sz="4" w:space="0" w:color="auto"/>
              <w:right w:val="nil"/>
            </w:tcBorders>
            <w:vAlign w:val="center"/>
          </w:tcPr>
          <w:p w14:paraId="4883ECA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(3,254)</w:t>
            </w:r>
          </w:p>
        </w:tc>
        <w:tc>
          <w:tcPr>
            <w:tcW w:w="859" w:type="dxa"/>
            <w:gridSpan w:val="2"/>
            <w:tcBorders>
              <w:top w:val="nil"/>
              <w:left w:val="nil"/>
              <w:bottom w:val="single" w:sz="4" w:space="0" w:color="auto"/>
              <w:right w:val="nil"/>
            </w:tcBorders>
          </w:tcPr>
          <w:p w14:paraId="081B717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single" w:sz="4" w:space="0" w:color="auto"/>
              <w:right w:val="nil"/>
            </w:tcBorders>
            <w:vAlign w:val="bottom"/>
          </w:tcPr>
          <w:p w14:paraId="1FDC495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(21,007)</w:t>
            </w:r>
          </w:p>
        </w:tc>
      </w:tr>
      <w:tr w:rsidR="00F63659" w14:paraId="0860F7FA" w14:textId="77777777" w:rsidTr="00CC7A1D">
        <w:trPr>
          <w:trHeight w:val="250"/>
        </w:trPr>
        <w:tc>
          <w:tcPr>
            <w:tcW w:w="3969" w:type="dxa"/>
            <w:tcBorders>
              <w:top w:val="nil"/>
              <w:left w:val="nil"/>
              <w:bottom w:val="nil"/>
              <w:right w:val="nil"/>
            </w:tcBorders>
            <w:vAlign w:val="bottom"/>
          </w:tcPr>
          <w:p w14:paraId="7D503A66"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Net cash used in operating activities</w:t>
            </w:r>
          </w:p>
        </w:tc>
        <w:tc>
          <w:tcPr>
            <w:tcW w:w="475" w:type="dxa"/>
            <w:tcBorders>
              <w:top w:val="nil"/>
              <w:left w:val="nil"/>
              <w:bottom w:val="nil"/>
              <w:right w:val="nil"/>
            </w:tcBorders>
          </w:tcPr>
          <w:p w14:paraId="09DD518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0A8D158A"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618007C7"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07B7436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single" w:sz="4" w:space="0" w:color="auto"/>
              <w:left w:val="nil"/>
              <w:bottom w:val="nil"/>
              <w:right w:val="nil"/>
            </w:tcBorders>
            <w:vAlign w:val="bottom"/>
          </w:tcPr>
          <w:p w14:paraId="1CA24FD1"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(236,057)</w:t>
            </w:r>
          </w:p>
        </w:tc>
        <w:tc>
          <w:tcPr>
            <w:tcW w:w="859" w:type="dxa"/>
            <w:gridSpan w:val="2"/>
            <w:tcBorders>
              <w:top w:val="single" w:sz="4" w:space="0" w:color="auto"/>
              <w:left w:val="nil"/>
              <w:bottom w:val="nil"/>
              <w:right w:val="nil"/>
            </w:tcBorders>
          </w:tcPr>
          <w:p w14:paraId="19DCC6A4"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single" w:sz="4" w:space="0" w:color="auto"/>
              <w:left w:val="nil"/>
              <w:bottom w:val="nil"/>
              <w:right w:val="nil"/>
            </w:tcBorders>
            <w:vAlign w:val="bottom"/>
          </w:tcPr>
          <w:p w14:paraId="45BD408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r>
              <w:rPr>
                <w:rFonts w:cs="Calibri"/>
                <w:color w:val="000000"/>
                <w:kern w:val="2"/>
                <w:sz w:val="18"/>
                <w:szCs w:val="18"/>
              </w:rPr>
              <w:t>(60,345)</w:t>
            </w:r>
          </w:p>
        </w:tc>
      </w:tr>
      <w:tr w:rsidR="00F63659" w14:paraId="6EE0F368" w14:textId="77777777" w:rsidTr="00CC7A1D">
        <w:trPr>
          <w:trHeight w:val="250"/>
        </w:trPr>
        <w:tc>
          <w:tcPr>
            <w:tcW w:w="3969" w:type="dxa"/>
            <w:tcBorders>
              <w:top w:val="nil"/>
              <w:left w:val="nil"/>
              <w:bottom w:val="nil"/>
              <w:right w:val="nil"/>
            </w:tcBorders>
            <w:vAlign w:val="bottom"/>
          </w:tcPr>
          <w:p w14:paraId="0B15D424" w14:textId="77777777" w:rsidR="00F63659" w:rsidRDefault="00F63659" w:rsidP="00CC7A1D">
            <w:pPr>
              <w:widowControl w:val="0"/>
              <w:autoSpaceDE w:val="0"/>
              <w:adjustRightInd w:val="0"/>
              <w:spacing w:after="0" w:line="240" w:lineRule="auto"/>
              <w:jc w:val="both"/>
              <w:rPr>
                <w:rFonts w:cs="Calibri"/>
                <w:color w:val="000000"/>
                <w:kern w:val="2"/>
                <w:sz w:val="18"/>
                <w:szCs w:val="18"/>
              </w:rPr>
            </w:pPr>
          </w:p>
        </w:tc>
        <w:tc>
          <w:tcPr>
            <w:tcW w:w="475" w:type="dxa"/>
            <w:tcBorders>
              <w:top w:val="nil"/>
              <w:left w:val="nil"/>
              <w:bottom w:val="nil"/>
              <w:right w:val="nil"/>
            </w:tcBorders>
          </w:tcPr>
          <w:p w14:paraId="5F7823E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1F05F89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431E57A7"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7E156E3E"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173332C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859" w:type="dxa"/>
            <w:gridSpan w:val="2"/>
            <w:tcBorders>
              <w:top w:val="nil"/>
              <w:left w:val="nil"/>
              <w:bottom w:val="nil"/>
              <w:right w:val="nil"/>
            </w:tcBorders>
          </w:tcPr>
          <w:p w14:paraId="22304960"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nil"/>
              <w:right w:val="nil"/>
            </w:tcBorders>
            <w:vAlign w:val="bottom"/>
          </w:tcPr>
          <w:p w14:paraId="317BA11F"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70CD9011" w14:textId="77777777" w:rsidTr="00CC7A1D">
        <w:trPr>
          <w:trHeight w:val="250"/>
        </w:trPr>
        <w:tc>
          <w:tcPr>
            <w:tcW w:w="3969" w:type="dxa"/>
            <w:tcBorders>
              <w:top w:val="nil"/>
              <w:left w:val="nil"/>
              <w:bottom w:val="nil"/>
              <w:right w:val="nil"/>
            </w:tcBorders>
            <w:vAlign w:val="bottom"/>
          </w:tcPr>
          <w:p w14:paraId="46E6D21E" w14:textId="77777777" w:rsidR="00F63659" w:rsidRDefault="00F63659" w:rsidP="00CC7A1D">
            <w:pPr>
              <w:widowControl w:val="0"/>
              <w:autoSpaceDE w:val="0"/>
              <w:adjustRightInd w:val="0"/>
              <w:spacing w:after="0" w:line="240" w:lineRule="auto"/>
              <w:jc w:val="both"/>
              <w:rPr>
                <w:rFonts w:cs="Calibri"/>
                <w:b/>
                <w:bCs/>
                <w:color w:val="000000"/>
                <w:kern w:val="2"/>
                <w:sz w:val="18"/>
                <w:szCs w:val="18"/>
              </w:rPr>
            </w:pPr>
            <w:r>
              <w:rPr>
                <w:rFonts w:cs="Calibri"/>
                <w:b/>
                <w:bCs/>
                <w:color w:val="000000"/>
                <w:kern w:val="2"/>
                <w:sz w:val="18"/>
                <w:szCs w:val="18"/>
              </w:rPr>
              <w:t>Financing activities</w:t>
            </w:r>
          </w:p>
        </w:tc>
        <w:tc>
          <w:tcPr>
            <w:tcW w:w="475" w:type="dxa"/>
            <w:tcBorders>
              <w:top w:val="nil"/>
              <w:left w:val="nil"/>
              <w:bottom w:val="nil"/>
              <w:right w:val="nil"/>
            </w:tcBorders>
          </w:tcPr>
          <w:p w14:paraId="2017B420"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36" w:type="dxa"/>
            <w:tcBorders>
              <w:top w:val="nil"/>
              <w:left w:val="nil"/>
              <w:bottom w:val="nil"/>
              <w:right w:val="nil"/>
            </w:tcBorders>
            <w:vAlign w:val="bottom"/>
          </w:tcPr>
          <w:p w14:paraId="4865E054"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77" w:type="dxa"/>
            <w:tcBorders>
              <w:top w:val="nil"/>
              <w:left w:val="nil"/>
              <w:bottom w:val="nil"/>
              <w:right w:val="nil"/>
            </w:tcBorders>
          </w:tcPr>
          <w:p w14:paraId="075BD2E8"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984" w:type="dxa"/>
            <w:tcBorders>
              <w:top w:val="nil"/>
              <w:left w:val="nil"/>
              <w:bottom w:val="nil"/>
              <w:right w:val="nil"/>
            </w:tcBorders>
          </w:tcPr>
          <w:p w14:paraId="68B6C05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45FD639B"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859" w:type="dxa"/>
            <w:gridSpan w:val="2"/>
            <w:tcBorders>
              <w:top w:val="nil"/>
              <w:left w:val="nil"/>
              <w:bottom w:val="nil"/>
              <w:right w:val="nil"/>
            </w:tcBorders>
          </w:tcPr>
          <w:p w14:paraId="24E30C46"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1551" w:type="dxa"/>
            <w:gridSpan w:val="2"/>
            <w:tcBorders>
              <w:top w:val="nil"/>
              <w:left w:val="nil"/>
              <w:bottom w:val="nil"/>
              <w:right w:val="nil"/>
            </w:tcBorders>
            <w:vAlign w:val="bottom"/>
          </w:tcPr>
          <w:p w14:paraId="355AA08A" w14:textId="77777777" w:rsidR="00F63659" w:rsidRDefault="00F63659" w:rsidP="00CC7A1D">
            <w:pPr>
              <w:widowControl w:val="0"/>
              <w:autoSpaceDE w:val="0"/>
              <w:adjustRightInd w:val="0"/>
              <w:spacing w:after="0" w:line="240" w:lineRule="auto"/>
              <w:jc w:val="right"/>
              <w:rPr>
                <w:rFonts w:cs="Calibri"/>
                <w:kern w:val="2"/>
                <w:sz w:val="18"/>
                <w:szCs w:val="18"/>
              </w:rPr>
            </w:pPr>
          </w:p>
        </w:tc>
      </w:tr>
      <w:tr w:rsidR="00F63659" w14:paraId="1785214F" w14:textId="77777777" w:rsidTr="00CC7A1D">
        <w:trPr>
          <w:trHeight w:val="250"/>
        </w:trPr>
        <w:tc>
          <w:tcPr>
            <w:tcW w:w="3969" w:type="dxa"/>
            <w:tcBorders>
              <w:top w:val="nil"/>
              <w:left w:val="nil"/>
              <w:bottom w:val="nil"/>
              <w:right w:val="nil"/>
            </w:tcBorders>
            <w:vAlign w:val="bottom"/>
          </w:tcPr>
          <w:p w14:paraId="191CD663"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Proceeds of new borrowings</w:t>
            </w:r>
          </w:p>
        </w:tc>
        <w:tc>
          <w:tcPr>
            <w:tcW w:w="475" w:type="dxa"/>
            <w:tcBorders>
              <w:top w:val="nil"/>
              <w:left w:val="nil"/>
              <w:bottom w:val="nil"/>
              <w:right w:val="nil"/>
            </w:tcBorders>
          </w:tcPr>
          <w:p w14:paraId="02595156"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36" w:type="dxa"/>
            <w:tcBorders>
              <w:top w:val="nil"/>
              <w:left w:val="nil"/>
              <w:bottom w:val="nil"/>
              <w:right w:val="nil"/>
            </w:tcBorders>
            <w:vAlign w:val="bottom"/>
          </w:tcPr>
          <w:p w14:paraId="3791FAA7"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77" w:type="dxa"/>
            <w:tcBorders>
              <w:top w:val="nil"/>
              <w:left w:val="nil"/>
              <w:bottom w:val="nil"/>
              <w:right w:val="nil"/>
            </w:tcBorders>
          </w:tcPr>
          <w:p w14:paraId="7649AB2A"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984" w:type="dxa"/>
            <w:tcBorders>
              <w:top w:val="nil"/>
              <w:left w:val="nil"/>
              <w:bottom w:val="nil"/>
              <w:right w:val="nil"/>
            </w:tcBorders>
          </w:tcPr>
          <w:p w14:paraId="03385A94"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23F79E08" w14:textId="77777777" w:rsidR="00F63659" w:rsidRDefault="00F63659" w:rsidP="00CC7A1D">
            <w:pPr>
              <w:widowControl w:val="0"/>
              <w:autoSpaceDE w:val="0"/>
              <w:adjustRightInd w:val="0"/>
              <w:spacing w:after="0" w:line="240" w:lineRule="auto"/>
              <w:jc w:val="center"/>
              <w:rPr>
                <w:rFonts w:cs="Calibri"/>
                <w:kern w:val="2"/>
                <w:sz w:val="18"/>
                <w:szCs w:val="18"/>
              </w:rPr>
            </w:pPr>
            <w:r>
              <w:rPr>
                <w:rFonts w:cs="Calibri"/>
                <w:kern w:val="2"/>
                <w:sz w:val="18"/>
                <w:szCs w:val="18"/>
              </w:rPr>
              <w:t xml:space="preserve">                   10,469</w:t>
            </w:r>
          </w:p>
        </w:tc>
        <w:tc>
          <w:tcPr>
            <w:tcW w:w="859" w:type="dxa"/>
            <w:gridSpan w:val="2"/>
            <w:tcBorders>
              <w:top w:val="nil"/>
              <w:left w:val="nil"/>
              <w:bottom w:val="nil"/>
              <w:right w:val="nil"/>
            </w:tcBorders>
          </w:tcPr>
          <w:p w14:paraId="6D767092"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1551" w:type="dxa"/>
            <w:gridSpan w:val="2"/>
            <w:tcBorders>
              <w:top w:val="nil"/>
              <w:left w:val="nil"/>
              <w:bottom w:val="nil"/>
              <w:right w:val="nil"/>
            </w:tcBorders>
            <w:vAlign w:val="bottom"/>
          </w:tcPr>
          <w:p w14:paraId="73C995CF" w14:textId="77777777" w:rsidR="00F63659" w:rsidRDefault="00F63659" w:rsidP="00CC7A1D">
            <w:pPr>
              <w:widowControl w:val="0"/>
              <w:autoSpaceDE w:val="0"/>
              <w:adjustRightInd w:val="0"/>
              <w:spacing w:after="0" w:line="240" w:lineRule="auto"/>
              <w:jc w:val="center"/>
              <w:rPr>
                <w:rFonts w:cs="Calibri"/>
                <w:kern w:val="2"/>
                <w:sz w:val="18"/>
                <w:szCs w:val="18"/>
              </w:rPr>
            </w:pPr>
            <w:r>
              <w:rPr>
                <w:rFonts w:cs="Calibri"/>
                <w:kern w:val="2"/>
                <w:sz w:val="18"/>
                <w:szCs w:val="18"/>
              </w:rPr>
              <w:t xml:space="preserve">                           -</w:t>
            </w:r>
          </w:p>
        </w:tc>
      </w:tr>
      <w:tr w:rsidR="00F63659" w14:paraId="64437F3C" w14:textId="77777777" w:rsidTr="00CC7A1D">
        <w:trPr>
          <w:trHeight w:val="250"/>
        </w:trPr>
        <w:tc>
          <w:tcPr>
            <w:tcW w:w="3969" w:type="dxa"/>
            <w:tcBorders>
              <w:top w:val="nil"/>
              <w:left w:val="nil"/>
              <w:bottom w:val="nil"/>
              <w:right w:val="nil"/>
            </w:tcBorders>
            <w:vAlign w:val="bottom"/>
          </w:tcPr>
          <w:p w14:paraId="695B97F5"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Issue of share capital</w:t>
            </w:r>
          </w:p>
        </w:tc>
        <w:tc>
          <w:tcPr>
            <w:tcW w:w="475" w:type="dxa"/>
            <w:tcBorders>
              <w:top w:val="nil"/>
              <w:left w:val="nil"/>
              <w:bottom w:val="nil"/>
              <w:right w:val="nil"/>
            </w:tcBorders>
          </w:tcPr>
          <w:p w14:paraId="79E17E0C"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36" w:type="dxa"/>
            <w:tcBorders>
              <w:top w:val="nil"/>
              <w:left w:val="nil"/>
              <w:bottom w:val="nil"/>
              <w:right w:val="nil"/>
            </w:tcBorders>
            <w:vAlign w:val="bottom"/>
          </w:tcPr>
          <w:p w14:paraId="5AAD8FB7"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77" w:type="dxa"/>
            <w:tcBorders>
              <w:top w:val="nil"/>
              <w:left w:val="nil"/>
              <w:bottom w:val="nil"/>
              <w:right w:val="nil"/>
            </w:tcBorders>
          </w:tcPr>
          <w:p w14:paraId="4F6F34F9"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984" w:type="dxa"/>
            <w:tcBorders>
              <w:top w:val="nil"/>
              <w:left w:val="nil"/>
              <w:bottom w:val="nil"/>
              <w:right w:val="nil"/>
            </w:tcBorders>
          </w:tcPr>
          <w:p w14:paraId="785017F5"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single" w:sz="4" w:space="0" w:color="auto"/>
              <w:right w:val="nil"/>
            </w:tcBorders>
            <w:vAlign w:val="bottom"/>
          </w:tcPr>
          <w:p w14:paraId="33B41A99" w14:textId="77777777" w:rsidR="00F63659" w:rsidRDefault="00F63659" w:rsidP="00CC7A1D">
            <w:pPr>
              <w:widowControl w:val="0"/>
              <w:autoSpaceDE w:val="0"/>
              <w:adjustRightInd w:val="0"/>
              <w:spacing w:after="0" w:line="240" w:lineRule="auto"/>
              <w:jc w:val="center"/>
              <w:rPr>
                <w:rFonts w:cs="Calibri"/>
                <w:kern w:val="2"/>
                <w:sz w:val="18"/>
                <w:szCs w:val="18"/>
              </w:rPr>
            </w:pPr>
            <w:r>
              <w:rPr>
                <w:rFonts w:cs="Calibri"/>
                <w:kern w:val="2"/>
                <w:sz w:val="18"/>
                <w:szCs w:val="18"/>
              </w:rPr>
              <w:t xml:space="preserve">                526,667</w:t>
            </w:r>
          </w:p>
        </w:tc>
        <w:tc>
          <w:tcPr>
            <w:tcW w:w="859" w:type="dxa"/>
            <w:gridSpan w:val="2"/>
            <w:tcBorders>
              <w:top w:val="nil"/>
              <w:left w:val="nil"/>
              <w:bottom w:val="single" w:sz="4" w:space="0" w:color="auto"/>
              <w:right w:val="nil"/>
            </w:tcBorders>
          </w:tcPr>
          <w:p w14:paraId="1F6D3E85"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1551" w:type="dxa"/>
            <w:gridSpan w:val="2"/>
            <w:tcBorders>
              <w:top w:val="nil"/>
              <w:left w:val="nil"/>
              <w:bottom w:val="single" w:sz="4" w:space="0" w:color="auto"/>
              <w:right w:val="nil"/>
            </w:tcBorders>
            <w:vAlign w:val="bottom"/>
          </w:tcPr>
          <w:p w14:paraId="3D042D1D" w14:textId="77777777" w:rsidR="00F63659" w:rsidRDefault="00F63659" w:rsidP="00CC7A1D">
            <w:pPr>
              <w:widowControl w:val="0"/>
              <w:autoSpaceDE w:val="0"/>
              <w:adjustRightInd w:val="0"/>
              <w:spacing w:after="0" w:line="240" w:lineRule="auto"/>
              <w:jc w:val="center"/>
              <w:rPr>
                <w:rFonts w:cs="Calibri"/>
                <w:kern w:val="2"/>
                <w:sz w:val="18"/>
                <w:szCs w:val="18"/>
              </w:rPr>
            </w:pPr>
            <w:r>
              <w:rPr>
                <w:rFonts w:cs="Calibri"/>
                <w:kern w:val="2"/>
                <w:sz w:val="18"/>
                <w:szCs w:val="18"/>
              </w:rPr>
              <w:t xml:space="preserve">                           -</w:t>
            </w:r>
          </w:p>
        </w:tc>
      </w:tr>
      <w:tr w:rsidR="00F63659" w14:paraId="6803B4FD" w14:textId="77777777" w:rsidTr="00CC7A1D">
        <w:trPr>
          <w:trHeight w:val="250"/>
        </w:trPr>
        <w:tc>
          <w:tcPr>
            <w:tcW w:w="3969" w:type="dxa"/>
            <w:tcBorders>
              <w:top w:val="nil"/>
              <w:left w:val="nil"/>
              <w:bottom w:val="nil"/>
              <w:right w:val="nil"/>
            </w:tcBorders>
            <w:vAlign w:val="bottom"/>
          </w:tcPr>
          <w:p w14:paraId="0C750880"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color w:val="000000"/>
                <w:kern w:val="2"/>
                <w:sz w:val="18"/>
                <w:szCs w:val="18"/>
              </w:rPr>
              <w:t>Net cash from financing activities</w:t>
            </w:r>
          </w:p>
        </w:tc>
        <w:tc>
          <w:tcPr>
            <w:tcW w:w="475" w:type="dxa"/>
            <w:tcBorders>
              <w:top w:val="nil"/>
              <w:left w:val="nil"/>
              <w:bottom w:val="nil"/>
              <w:right w:val="nil"/>
            </w:tcBorders>
          </w:tcPr>
          <w:p w14:paraId="00D3D8F7"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36" w:type="dxa"/>
            <w:tcBorders>
              <w:top w:val="nil"/>
              <w:left w:val="nil"/>
              <w:bottom w:val="nil"/>
              <w:right w:val="nil"/>
            </w:tcBorders>
            <w:vAlign w:val="bottom"/>
          </w:tcPr>
          <w:p w14:paraId="5A3733A0"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77" w:type="dxa"/>
            <w:tcBorders>
              <w:top w:val="nil"/>
              <w:left w:val="nil"/>
              <w:bottom w:val="nil"/>
              <w:right w:val="nil"/>
            </w:tcBorders>
          </w:tcPr>
          <w:p w14:paraId="12C46E4D"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984" w:type="dxa"/>
            <w:tcBorders>
              <w:top w:val="nil"/>
              <w:left w:val="nil"/>
              <w:bottom w:val="nil"/>
              <w:right w:val="nil"/>
            </w:tcBorders>
          </w:tcPr>
          <w:p w14:paraId="14C83181"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single" w:sz="4" w:space="0" w:color="auto"/>
              <w:left w:val="nil"/>
              <w:bottom w:val="nil"/>
              <w:right w:val="nil"/>
            </w:tcBorders>
            <w:vAlign w:val="bottom"/>
          </w:tcPr>
          <w:p w14:paraId="5F1FD7CF" w14:textId="77777777" w:rsidR="00F63659" w:rsidRDefault="00F63659" w:rsidP="00CC7A1D">
            <w:pPr>
              <w:widowControl w:val="0"/>
              <w:autoSpaceDE w:val="0"/>
              <w:adjustRightInd w:val="0"/>
              <w:spacing w:after="0" w:line="240" w:lineRule="auto"/>
              <w:jc w:val="center"/>
              <w:rPr>
                <w:rFonts w:cs="Calibri"/>
                <w:kern w:val="2"/>
                <w:sz w:val="18"/>
                <w:szCs w:val="18"/>
              </w:rPr>
            </w:pPr>
            <w:r>
              <w:rPr>
                <w:rFonts w:cs="Calibri"/>
                <w:kern w:val="2"/>
                <w:sz w:val="18"/>
                <w:szCs w:val="18"/>
              </w:rPr>
              <w:t xml:space="preserve">                537,136</w:t>
            </w:r>
          </w:p>
        </w:tc>
        <w:tc>
          <w:tcPr>
            <w:tcW w:w="859" w:type="dxa"/>
            <w:gridSpan w:val="2"/>
            <w:tcBorders>
              <w:top w:val="single" w:sz="4" w:space="0" w:color="auto"/>
              <w:left w:val="nil"/>
              <w:bottom w:val="nil"/>
              <w:right w:val="nil"/>
            </w:tcBorders>
          </w:tcPr>
          <w:p w14:paraId="63A71802"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1551" w:type="dxa"/>
            <w:gridSpan w:val="2"/>
            <w:tcBorders>
              <w:top w:val="single" w:sz="4" w:space="0" w:color="auto"/>
              <w:left w:val="nil"/>
              <w:bottom w:val="nil"/>
              <w:right w:val="nil"/>
            </w:tcBorders>
            <w:vAlign w:val="bottom"/>
          </w:tcPr>
          <w:p w14:paraId="1C50EF94" w14:textId="77777777" w:rsidR="00F63659" w:rsidRDefault="00F63659" w:rsidP="00CC7A1D">
            <w:pPr>
              <w:widowControl w:val="0"/>
              <w:autoSpaceDE w:val="0"/>
              <w:adjustRightInd w:val="0"/>
              <w:spacing w:after="0" w:line="240" w:lineRule="auto"/>
              <w:jc w:val="center"/>
              <w:rPr>
                <w:rFonts w:cs="Calibri"/>
                <w:kern w:val="2"/>
                <w:sz w:val="18"/>
                <w:szCs w:val="18"/>
              </w:rPr>
            </w:pPr>
            <w:r>
              <w:rPr>
                <w:rFonts w:cs="Calibri"/>
                <w:kern w:val="2"/>
                <w:sz w:val="18"/>
                <w:szCs w:val="18"/>
              </w:rPr>
              <w:t xml:space="preserve">                           -</w:t>
            </w:r>
          </w:p>
        </w:tc>
      </w:tr>
      <w:tr w:rsidR="00F63659" w14:paraId="47C6E3DC" w14:textId="77777777" w:rsidTr="00CC7A1D">
        <w:trPr>
          <w:trHeight w:val="250"/>
        </w:trPr>
        <w:tc>
          <w:tcPr>
            <w:tcW w:w="3969" w:type="dxa"/>
            <w:tcBorders>
              <w:top w:val="nil"/>
              <w:left w:val="nil"/>
              <w:bottom w:val="nil"/>
              <w:right w:val="nil"/>
            </w:tcBorders>
            <w:vAlign w:val="bottom"/>
          </w:tcPr>
          <w:p w14:paraId="71433EE6" w14:textId="77777777" w:rsidR="00F63659" w:rsidRDefault="00F63659" w:rsidP="00CC7A1D">
            <w:pPr>
              <w:widowControl w:val="0"/>
              <w:autoSpaceDE w:val="0"/>
              <w:adjustRightInd w:val="0"/>
              <w:spacing w:after="0" w:line="240" w:lineRule="auto"/>
              <w:jc w:val="both"/>
              <w:rPr>
                <w:rFonts w:cs="Calibri"/>
                <w:color w:val="000000"/>
                <w:kern w:val="2"/>
                <w:sz w:val="18"/>
                <w:szCs w:val="18"/>
              </w:rPr>
            </w:pPr>
          </w:p>
        </w:tc>
        <w:tc>
          <w:tcPr>
            <w:tcW w:w="475" w:type="dxa"/>
            <w:tcBorders>
              <w:top w:val="nil"/>
              <w:left w:val="nil"/>
              <w:bottom w:val="nil"/>
              <w:right w:val="nil"/>
            </w:tcBorders>
          </w:tcPr>
          <w:p w14:paraId="3BD0FA76"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36" w:type="dxa"/>
            <w:tcBorders>
              <w:top w:val="nil"/>
              <w:left w:val="nil"/>
              <w:bottom w:val="nil"/>
              <w:right w:val="nil"/>
            </w:tcBorders>
            <w:vAlign w:val="bottom"/>
          </w:tcPr>
          <w:p w14:paraId="5B2552EA"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277" w:type="dxa"/>
            <w:tcBorders>
              <w:top w:val="nil"/>
              <w:left w:val="nil"/>
              <w:bottom w:val="nil"/>
              <w:right w:val="nil"/>
            </w:tcBorders>
          </w:tcPr>
          <w:p w14:paraId="41EAB0E0"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984" w:type="dxa"/>
            <w:tcBorders>
              <w:top w:val="nil"/>
              <w:left w:val="nil"/>
              <w:bottom w:val="nil"/>
              <w:right w:val="nil"/>
            </w:tcBorders>
          </w:tcPr>
          <w:p w14:paraId="6390615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34F3D40C"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859" w:type="dxa"/>
            <w:gridSpan w:val="2"/>
            <w:tcBorders>
              <w:top w:val="nil"/>
              <w:left w:val="nil"/>
              <w:bottom w:val="nil"/>
              <w:right w:val="nil"/>
            </w:tcBorders>
          </w:tcPr>
          <w:p w14:paraId="091AB118" w14:textId="77777777" w:rsidR="00F63659" w:rsidRDefault="00F63659" w:rsidP="00CC7A1D">
            <w:pPr>
              <w:widowControl w:val="0"/>
              <w:autoSpaceDE w:val="0"/>
              <w:adjustRightInd w:val="0"/>
              <w:spacing w:after="0" w:line="240" w:lineRule="auto"/>
              <w:jc w:val="right"/>
              <w:rPr>
                <w:rFonts w:cs="Calibri"/>
                <w:kern w:val="2"/>
                <w:sz w:val="18"/>
                <w:szCs w:val="18"/>
              </w:rPr>
            </w:pPr>
          </w:p>
        </w:tc>
        <w:tc>
          <w:tcPr>
            <w:tcW w:w="1551" w:type="dxa"/>
            <w:gridSpan w:val="2"/>
            <w:tcBorders>
              <w:top w:val="nil"/>
              <w:left w:val="nil"/>
              <w:bottom w:val="nil"/>
              <w:right w:val="nil"/>
            </w:tcBorders>
            <w:vAlign w:val="bottom"/>
          </w:tcPr>
          <w:p w14:paraId="6008AC4D" w14:textId="77777777" w:rsidR="00F63659" w:rsidRDefault="00F63659" w:rsidP="00CC7A1D">
            <w:pPr>
              <w:widowControl w:val="0"/>
              <w:autoSpaceDE w:val="0"/>
              <w:adjustRightInd w:val="0"/>
              <w:spacing w:after="0" w:line="240" w:lineRule="auto"/>
              <w:jc w:val="right"/>
              <w:rPr>
                <w:rFonts w:cs="Calibri"/>
                <w:kern w:val="2"/>
                <w:sz w:val="18"/>
                <w:szCs w:val="18"/>
              </w:rPr>
            </w:pPr>
          </w:p>
        </w:tc>
      </w:tr>
      <w:tr w:rsidR="00F63659" w14:paraId="296A3EEA" w14:textId="77777777" w:rsidTr="00CC7A1D">
        <w:trPr>
          <w:trHeight w:val="250"/>
        </w:trPr>
        <w:tc>
          <w:tcPr>
            <w:tcW w:w="3969" w:type="dxa"/>
            <w:tcBorders>
              <w:top w:val="nil"/>
              <w:left w:val="nil"/>
              <w:bottom w:val="nil"/>
              <w:right w:val="nil"/>
            </w:tcBorders>
            <w:vAlign w:val="bottom"/>
          </w:tcPr>
          <w:p w14:paraId="34203940"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b/>
                <w:bCs/>
                <w:color w:val="000000"/>
                <w:kern w:val="2"/>
                <w:sz w:val="18"/>
                <w:szCs w:val="18"/>
              </w:rPr>
              <w:t>Net (decrease)/increase in cash and cash equivalents</w:t>
            </w:r>
          </w:p>
        </w:tc>
        <w:tc>
          <w:tcPr>
            <w:tcW w:w="475" w:type="dxa"/>
            <w:tcBorders>
              <w:top w:val="nil"/>
              <w:left w:val="nil"/>
              <w:bottom w:val="nil"/>
              <w:right w:val="nil"/>
            </w:tcBorders>
          </w:tcPr>
          <w:p w14:paraId="53412D48" w14:textId="77777777" w:rsidR="00F63659" w:rsidRDefault="00F63659" w:rsidP="00CC7A1D">
            <w:pPr>
              <w:widowControl w:val="0"/>
              <w:autoSpaceDE w:val="0"/>
              <w:adjustRightInd w:val="0"/>
              <w:spacing w:after="0" w:line="240" w:lineRule="auto"/>
              <w:jc w:val="right"/>
              <w:rPr>
                <w:rFonts w:cs="Calibri"/>
                <w:b/>
                <w:bCs/>
                <w:kern w:val="2"/>
                <w:sz w:val="18"/>
                <w:szCs w:val="18"/>
              </w:rPr>
            </w:pPr>
          </w:p>
        </w:tc>
        <w:tc>
          <w:tcPr>
            <w:tcW w:w="236" w:type="dxa"/>
            <w:tcBorders>
              <w:top w:val="nil"/>
              <w:left w:val="nil"/>
              <w:bottom w:val="nil"/>
              <w:right w:val="nil"/>
            </w:tcBorders>
            <w:vAlign w:val="bottom"/>
          </w:tcPr>
          <w:p w14:paraId="0673059E" w14:textId="77777777" w:rsidR="00F63659" w:rsidRDefault="00F63659" w:rsidP="00CC7A1D">
            <w:pPr>
              <w:widowControl w:val="0"/>
              <w:autoSpaceDE w:val="0"/>
              <w:adjustRightInd w:val="0"/>
              <w:spacing w:after="0" w:line="240" w:lineRule="auto"/>
              <w:jc w:val="right"/>
              <w:rPr>
                <w:rFonts w:cs="Calibri"/>
                <w:b/>
                <w:bCs/>
                <w:kern w:val="2"/>
                <w:sz w:val="18"/>
                <w:szCs w:val="18"/>
              </w:rPr>
            </w:pPr>
          </w:p>
        </w:tc>
        <w:tc>
          <w:tcPr>
            <w:tcW w:w="277" w:type="dxa"/>
            <w:tcBorders>
              <w:top w:val="nil"/>
              <w:left w:val="nil"/>
              <w:bottom w:val="nil"/>
              <w:right w:val="nil"/>
            </w:tcBorders>
          </w:tcPr>
          <w:p w14:paraId="05AB2571" w14:textId="77777777" w:rsidR="00F63659" w:rsidRDefault="00F63659" w:rsidP="00CC7A1D">
            <w:pPr>
              <w:widowControl w:val="0"/>
              <w:autoSpaceDE w:val="0"/>
              <w:adjustRightInd w:val="0"/>
              <w:spacing w:after="0" w:line="240" w:lineRule="auto"/>
              <w:jc w:val="right"/>
              <w:rPr>
                <w:rFonts w:cs="Calibri"/>
                <w:b/>
                <w:bCs/>
                <w:kern w:val="2"/>
                <w:sz w:val="18"/>
                <w:szCs w:val="18"/>
              </w:rPr>
            </w:pPr>
          </w:p>
        </w:tc>
        <w:tc>
          <w:tcPr>
            <w:tcW w:w="984" w:type="dxa"/>
            <w:tcBorders>
              <w:top w:val="nil"/>
              <w:left w:val="nil"/>
              <w:bottom w:val="nil"/>
              <w:right w:val="nil"/>
            </w:tcBorders>
          </w:tcPr>
          <w:p w14:paraId="11C80585"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559" w:type="dxa"/>
            <w:gridSpan w:val="2"/>
            <w:tcBorders>
              <w:top w:val="nil"/>
              <w:left w:val="nil"/>
              <w:bottom w:val="single" w:sz="4" w:space="0" w:color="auto"/>
              <w:right w:val="nil"/>
            </w:tcBorders>
            <w:vAlign w:val="bottom"/>
          </w:tcPr>
          <w:p w14:paraId="41886BE6" w14:textId="77777777" w:rsidR="00F63659" w:rsidRDefault="00F63659" w:rsidP="00CC7A1D">
            <w:pPr>
              <w:widowControl w:val="0"/>
              <w:autoSpaceDE w:val="0"/>
              <w:adjustRightInd w:val="0"/>
              <w:spacing w:after="0" w:line="240" w:lineRule="auto"/>
              <w:jc w:val="center"/>
              <w:rPr>
                <w:rFonts w:cs="Calibri"/>
                <w:b/>
                <w:bCs/>
                <w:kern w:val="2"/>
                <w:sz w:val="18"/>
                <w:szCs w:val="18"/>
              </w:rPr>
            </w:pPr>
            <w:r>
              <w:rPr>
                <w:rFonts w:cs="Calibri"/>
                <w:b/>
                <w:bCs/>
                <w:kern w:val="2"/>
                <w:sz w:val="18"/>
                <w:szCs w:val="18"/>
              </w:rPr>
              <w:t xml:space="preserve">                 301,079</w:t>
            </w:r>
          </w:p>
        </w:tc>
        <w:tc>
          <w:tcPr>
            <w:tcW w:w="859" w:type="dxa"/>
            <w:gridSpan w:val="2"/>
            <w:tcBorders>
              <w:top w:val="nil"/>
              <w:left w:val="nil"/>
              <w:bottom w:val="single" w:sz="4" w:space="0" w:color="auto"/>
              <w:right w:val="nil"/>
            </w:tcBorders>
          </w:tcPr>
          <w:p w14:paraId="29A03351" w14:textId="77777777" w:rsidR="00F63659" w:rsidRDefault="00F63659" w:rsidP="00CC7A1D">
            <w:pPr>
              <w:widowControl w:val="0"/>
              <w:autoSpaceDE w:val="0"/>
              <w:adjustRightInd w:val="0"/>
              <w:spacing w:after="0" w:line="240" w:lineRule="auto"/>
              <w:jc w:val="right"/>
              <w:rPr>
                <w:rFonts w:cs="Calibri"/>
                <w:b/>
                <w:bCs/>
                <w:kern w:val="2"/>
                <w:sz w:val="18"/>
                <w:szCs w:val="18"/>
              </w:rPr>
            </w:pPr>
          </w:p>
        </w:tc>
        <w:tc>
          <w:tcPr>
            <w:tcW w:w="1551" w:type="dxa"/>
            <w:gridSpan w:val="2"/>
            <w:tcBorders>
              <w:top w:val="nil"/>
              <w:left w:val="nil"/>
              <w:bottom w:val="single" w:sz="4" w:space="0" w:color="auto"/>
              <w:right w:val="nil"/>
            </w:tcBorders>
            <w:vAlign w:val="bottom"/>
          </w:tcPr>
          <w:p w14:paraId="01DD7F53" w14:textId="77777777" w:rsidR="00F63659" w:rsidRDefault="00F63659" w:rsidP="00CC7A1D">
            <w:pPr>
              <w:widowControl w:val="0"/>
              <w:autoSpaceDE w:val="0"/>
              <w:adjustRightInd w:val="0"/>
              <w:spacing w:after="0" w:line="240" w:lineRule="auto"/>
              <w:jc w:val="right"/>
              <w:rPr>
                <w:rFonts w:cs="Calibri"/>
                <w:b/>
                <w:bCs/>
                <w:kern w:val="2"/>
                <w:sz w:val="18"/>
                <w:szCs w:val="18"/>
              </w:rPr>
            </w:pPr>
            <w:r>
              <w:rPr>
                <w:rFonts w:cs="Calibri"/>
                <w:b/>
                <w:bCs/>
                <w:kern w:val="2"/>
                <w:sz w:val="18"/>
                <w:szCs w:val="18"/>
              </w:rPr>
              <w:t>(60,345)</w:t>
            </w:r>
          </w:p>
        </w:tc>
      </w:tr>
      <w:tr w:rsidR="00F63659" w14:paraId="2B80404E" w14:textId="77777777" w:rsidTr="00CC7A1D">
        <w:trPr>
          <w:trHeight w:val="250"/>
        </w:trPr>
        <w:tc>
          <w:tcPr>
            <w:tcW w:w="3969" w:type="dxa"/>
            <w:tcBorders>
              <w:top w:val="nil"/>
              <w:left w:val="nil"/>
              <w:bottom w:val="nil"/>
              <w:right w:val="nil"/>
            </w:tcBorders>
            <w:vAlign w:val="bottom"/>
          </w:tcPr>
          <w:p w14:paraId="6BFC4D7B" w14:textId="77777777" w:rsidR="00F63659" w:rsidRDefault="00F63659" w:rsidP="00CC7A1D">
            <w:pPr>
              <w:widowControl w:val="0"/>
              <w:autoSpaceDE w:val="0"/>
              <w:adjustRightInd w:val="0"/>
              <w:spacing w:after="0" w:line="240" w:lineRule="auto"/>
              <w:jc w:val="both"/>
              <w:rPr>
                <w:rFonts w:cs="Calibri"/>
                <w:color w:val="000000"/>
                <w:kern w:val="2"/>
                <w:sz w:val="18"/>
                <w:szCs w:val="18"/>
              </w:rPr>
            </w:pPr>
          </w:p>
        </w:tc>
        <w:tc>
          <w:tcPr>
            <w:tcW w:w="475" w:type="dxa"/>
            <w:tcBorders>
              <w:top w:val="nil"/>
              <w:left w:val="nil"/>
              <w:bottom w:val="nil"/>
              <w:right w:val="nil"/>
            </w:tcBorders>
          </w:tcPr>
          <w:p w14:paraId="49355A8C"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36" w:type="dxa"/>
            <w:tcBorders>
              <w:top w:val="nil"/>
              <w:left w:val="nil"/>
              <w:bottom w:val="nil"/>
              <w:right w:val="nil"/>
            </w:tcBorders>
            <w:vAlign w:val="bottom"/>
          </w:tcPr>
          <w:p w14:paraId="1EDF983C"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77" w:type="dxa"/>
            <w:tcBorders>
              <w:top w:val="nil"/>
              <w:left w:val="nil"/>
              <w:bottom w:val="nil"/>
              <w:right w:val="nil"/>
            </w:tcBorders>
          </w:tcPr>
          <w:p w14:paraId="02DFF47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84" w:type="dxa"/>
            <w:tcBorders>
              <w:top w:val="nil"/>
              <w:left w:val="nil"/>
              <w:bottom w:val="nil"/>
              <w:right w:val="nil"/>
            </w:tcBorders>
          </w:tcPr>
          <w:p w14:paraId="64B140D4"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single" w:sz="4" w:space="0" w:color="auto"/>
              <w:left w:val="nil"/>
              <w:bottom w:val="nil"/>
              <w:right w:val="nil"/>
            </w:tcBorders>
            <w:vAlign w:val="bottom"/>
          </w:tcPr>
          <w:p w14:paraId="7F11048B"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859" w:type="dxa"/>
            <w:gridSpan w:val="2"/>
            <w:tcBorders>
              <w:top w:val="single" w:sz="4" w:space="0" w:color="auto"/>
              <w:left w:val="nil"/>
              <w:bottom w:val="nil"/>
              <w:right w:val="nil"/>
            </w:tcBorders>
          </w:tcPr>
          <w:p w14:paraId="4AE83F2F"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551" w:type="dxa"/>
            <w:gridSpan w:val="2"/>
            <w:tcBorders>
              <w:top w:val="single" w:sz="4" w:space="0" w:color="auto"/>
              <w:left w:val="nil"/>
              <w:bottom w:val="nil"/>
              <w:right w:val="nil"/>
            </w:tcBorders>
            <w:vAlign w:val="bottom"/>
          </w:tcPr>
          <w:p w14:paraId="4ACCBD20"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r>
      <w:tr w:rsidR="00F63659" w14:paraId="587256ED" w14:textId="77777777" w:rsidTr="00CC7A1D">
        <w:trPr>
          <w:trHeight w:val="250"/>
        </w:trPr>
        <w:tc>
          <w:tcPr>
            <w:tcW w:w="3969" w:type="dxa"/>
            <w:tcBorders>
              <w:top w:val="nil"/>
              <w:left w:val="nil"/>
              <w:bottom w:val="nil"/>
              <w:right w:val="nil"/>
            </w:tcBorders>
            <w:vAlign w:val="bottom"/>
          </w:tcPr>
          <w:p w14:paraId="722FB558"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b/>
                <w:bCs/>
                <w:color w:val="000000"/>
                <w:kern w:val="2"/>
                <w:sz w:val="18"/>
                <w:szCs w:val="18"/>
              </w:rPr>
              <w:t xml:space="preserve">Cash and cash equivalents at beginning of the year </w:t>
            </w:r>
          </w:p>
        </w:tc>
        <w:tc>
          <w:tcPr>
            <w:tcW w:w="475" w:type="dxa"/>
            <w:tcBorders>
              <w:top w:val="nil"/>
              <w:left w:val="nil"/>
              <w:bottom w:val="nil"/>
              <w:right w:val="nil"/>
            </w:tcBorders>
          </w:tcPr>
          <w:p w14:paraId="2B4CD5F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3DB9859A"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11473E1D"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752697DA"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nil"/>
              <w:right w:val="nil"/>
            </w:tcBorders>
            <w:vAlign w:val="bottom"/>
          </w:tcPr>
          <w:p w14:paraId="649C84AC"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r>
              <w:rPr>
                <w:rFonts w:cs="Calibri"/>
                <w:color w:val="000000"/>
                <w:kern w:val="2"/>
                <w:sz w:val="18"/>
                <w:szCs w:val="18"/>
              </w:rPr>
              <w:t xml:space="preserve">                    62,573</w:t>
            </w:r>
          </w:p>
        </w:tc>
        <w:tc>
          <w:tcPr>
            <w:tcW w:w="859" w:type="dxa"/>
            <w:gridSpan w:val="2"/>
            <w:tcBorders>
              <w:top w:val="nil"/>
              <w:left w:val="nil"/>
              <w:bottom w:val="nil"/>
              <w:right w:val="nil"/>
            </w:tcBorders>
          </w:tcPr>
          <w:p w14:paraId="639AABB3"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nil"/>
              <w:right w:val="nil"/>
            </w:tcBorders>
            <w:vAlign w:val="bottom"/>
          </w:tcPr>
          <w:p w14:paraId="3FB9DD7A" w14:textId="77777777" w:rsidR="00F63659" w:rsidRDefault="00F63659" w:rsidP="00CC7A1D">
            <w:pPr>
              <w:widowControl w:val="0"/>
              <w:autoSpaceDE w:val="0"/>
              <w:adjustRightInd w:val="0"/>
              <w:spacing w:after="0" w:line="240" w:lineRule="auto"/>
              <w:jc w:val="center"/>
              <w:rPr>
                <w:rFonts w:cs="Calibri"/>
                <w:color w:val="000000"/>
                <w:kern w:val="2"/>
                <w:sz w:val="18"/>
                <w:szCs w:val="18"/>
              </w:rPr>
            </w:pPr>
            <w:r>
              <w:rPr>
                <w:rFonts w:cs="Calibri"/>
                <w:color w:val="000000"/>
                <w:kern w:val="2"/>
                <w:sz w:val="18"/>
                <w:szCs w:val="18"/>
              </w:rPr>
              <w:t xml:space="preserve">                122,918</w:t>
            </w:r>
          </w:p>
        </w:tc>
      </w:tr>
      <w:tr w:rsidR="00F63659" w14:paraId="164E5756" w14:textId="77777777" w:rsidTr="00CC7A1D">
        <w:trPr>
          <w:trHeight w:val="250"/>
        </w:trPr>
        <w:tc>
          <w:tcPr>
            <w:tcW w:w="3969" w:type="dxa"/>
            <w:tcBorders>
              <w:top w:val="nil"/>
              <w:left w:val="nil"/>
              <w:bottom w:val="nil"/>
              <w:right w:val="nil"/>
            </w:tcBorders>
            <w:vAlign w:val="bottom"/>
          </w:tcPr>
          <w:p w14:paraId="357DB87C" w14:textId="77777777" w:rsidR="00F63659" w:rsidRDefault="00F63659" w:rsidP="00CC7A1D">
            <w:pPr>
              <w:widowControl w:val="0"/>
              <w:autoSpaceDE w:val="0"/>
              <w:adjustRightInd w:val="0"/>
              <w:spacing w:after="0" w:line="240" w:lineRule="auto"/>
              <w:jc w:val="both"/>
              <w:rPr>
                <w:rFonts w:cs="Calibri"/>
                <w:color w:val="000000"/>
                <w:kern w:val="2"/>
                <w:sz w:val="18"/>
                <w:szCs w:val="18"/>
              </w:rPr>
            </w:pPr>
          </w:p>
        </w:tc>
        <w:tc>
          <w:tcPr>
            <w:tcW w:w="475" w:type="dxa"/>
            <w:tcBorders>
              <w:top w:val="nil"/>
              <w:left w:val="nil"/>
              <w:bottom w:val="nil"/>
              <w:right w:val="nil"/>
            </w:tcBorders>
          </w:tcPr>
          <w:p w14:paraId="331B4696"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36" w:type="dxa"/>
            <w:tcBorders>
              <w:top w:val="nil"/>
              <w:left w:val="nil"/>
              <w:bottom w:val="nil"/>
              <w:right w:val="nil"/>
            </w:tcBorders>
            <w:vAlign w:val="bottom"/>
          </w:tcPr>
          <w:p w14:paraId="386FC4A8"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277" w:type="dxa"/>
            <w:tcBorders>
              <w:top w:val="nil"/>
              <w:left w:val="nil"/>
              <w:bottom w:val="nil"/>
              <w:right w:val="nil"/>
            </w:tcBorders>
          </w:tcPr>
          <w:p w14:paraId="32D8248B"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984" w:type="dxa"/>
            <w:tcBorders>
              <w:top w:val="nil"/>
              <w:left w:val="nil"/>
              <w:bottom w:val="nil"/>
              <w:right w:val="nil"/>
            </w:tcBorders>
          </w:tcPr>
          <w:p w14:paraId="28FEB539"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9" w:type="dxa"/>
            <w:gridSpan w:val="2"/>
            <w:tcBorders>
              <w:top w:val="nil"/>
              <w:left w:val="nil"/>
              <w:bottom w:val="single" w:sz="4" w:space="0" w:color="auto"/>
              <w:right w:val="nil"/>
            </w:tcBorders>
            <w:vAlign w:val="bottom"/>
          </w:tcPr>
          <w:p w14:paraId="4E7B258C"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859" w:type="dxa"/>
            <w:gridSpan w:val="2"/>
            <w:tcBorders>
              <w:top w:val="nil"/>
              <w:left w:val="nil"/>
              <w:bottom w:val="single" w:sz="4" w:space="0" w:color="auto"/>
              <w:right w:val="nil"/>
            </w:tcBorders>
          </w:tcPr>
          <w:p w14:paraId="655C3D87"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c>
          <w:tcPr>
            <w:tcW w:w="1551" w:type="dxa"/>
            <w:gridSpan w:val="2"/>
            <w:tcBorders>
              <w:top w:val="nil"/>
              <w:left w:val="nil"/>
              <w:bottom w:val="single" w:sz="4" w:space="0" w:color="auto"/>
              <w:right w:val="nil"/>
            </w:tcBorders>
            <w:vAlign w:val="bottom"/>
          </w:tcPr>
          <w:p w14:paraId="1EB163CC" w14:textId="77777777" w:rsidR="00F63659" w:rsidRDefault="00F63659" w:rsidP="00CC7A1D">
            <w:pPr>
              <w:widowControl w:val="0"/>
              <w:autoSpaceDE w:val="0"/>
              <w:adjustRightInd w:val="0"/>
              <w:spacing w:after="0" w:line="240" w:lineRule="auto"/>
              <w:jc w:val="right"/>
              <w:rPr>
                <w:rFonts w:cs="Calibri"/>
                <w:color w:val="000000"/>
                <w:kern w:val="2"/>
                <w:sz w:val="18"/>
                <w:szCs w:val="18"/>
              </w:rPr>
            </w:pPr>
          </w:p>
        </w:tc>
      </w:tr>
      <w:tr w:rsidR="00F63659" w14:paraId="7C0D6FD7" w14:textId="77777777" w:rsidTr="00CC7A1D">
        <w:trPr>
          <w:trHeight w:val="250"/>
        </w:trPr>
        <w:tc>
          <w:tcPr>
            <w:tcW w:w="3969" w:type="dxa"/>
            <w:tcBorders>
              <w:top w:val="nil"/>
              <w:left w:val="nil"/>
              <w:bottom w:val="nil"/>
              <w:right w:val="nil"/>
            </w:tcBorders>
            <w:vAlign w:val="bottom"/>
          </w:tcPr>
          <w:p w14:paraId="567949FE" w14:textId="77777777" w:rsidR="00F63659" w:rsidRDefault="00F63659" w:rsidP="00CC7A1D">
            <w:pPr>
              <w:widowControl w:val="0"/>
              <w:autoSpaceDE w:val="0"/>
              <w:adjustRightInd w:val="0"/>
              <w:spacing w:after="0" w:line="240" w:lineRule="auto"/>
              <w:jc w:val="both"/>
              <w:rPr>
                <w:rFonts w:cs="Calibri"/>
                <w:color w:val="000000"/>
                <w:kern w:val="2"/>
                <w:sz w:val="18"/>
                <w:szCs w:val="18"/>
              </w:rPr>
            </w:pPr>
            <w:r>
              <w:rPr>
                <w:rFonts w:cs="Calibri"/>
                <w:b/>
                <w:bCs/>
                <w:color w:val="000000"/>
                <w:kern w:val="2"/>
                <w:sz w:val="18"/>
                <w:szCs w:val="18"/>
              </w:rPr>
              <w:t xml:space="preserve">Cash and cash equivalents at end of the year </w:t>
            </w:r>
          </w:p>
        </w:tc>
        <w:tc>
          <w:tcPr>
            <w:tcW w:w="475" w:type="dxa"/>
            <w:tcBorders>
              <w:top w:val="nil"/>
              <w:left w:val="nil"/>
              <w:bottom w:val="nil"/>
              <w:right w:val="nil"/>
            </w:tcBorders>
          </w:tcPr>
          <w:p w14:paraId="0618879E"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36" w:type="dxa"/>
            <w:tcBorders>
              <w:top w:val="nil"/>
              <w:left w:val="nil"/>
              <w:bottom w:val="nil"/>
              <w:right w:val="nil"/>
            </w:tcBorders>
            <w:vAlign w:val="bottom"/>
          </w:tcPr>
          <w:p w14:paraId="761772EA"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277" w:type="dxa"/>
            <w:tcBorders>
              <w:top w:val="nil"/>
              <w:left w:val="nil"/>
              <w:bottom w:val="nil"/>
              <w:right w:val="nil"/>
            </w:tcBorders>
          </w:tcPr>
          <w:p w14:paraId="7CA075E3"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984" w:type="dxa"/>
            <w:tcBorders>
              <w:top w:val="nil"/>
              <w:left w:val="nil"/>
              <w:bottom w:val="nil"/>
              <w:right w:val="nil"/>
            </w:tcBorders>
          </w:tcPr>
          <w:p w14:paraId="32D78179"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559" w:type="dxa"/>
            <w:gridSpan w:val="2"/>
            <w:tcBorders>
              <w:top w:val="single" w:sz="4" w:space="0" w:color="auto"/>
              <w:left w:val="nil"/>
              <w:bottom w:val="single" w:sz="4" w:space="0" w:color="auto"/>
              <w:right w:val="nil"/>
            </w:tcBorders>
            <w:vAlign w:val="bottom"/>
          </w:tcPr>
          <w:p w14:paraId="108ECA1D" w14:textId="77777777" w:rsidR="00F63659" w:rsidRDefault="00F63659" w:rsidP="00CC7A1D">
            <w:pPr>
              <w:widowControl w:val="0"/>
              <w:autoSpaceDE w:val="0"/>
              <w:adjustRightInd w:val="0"/>
              <w:spacing w:after="0" w:line="240" w:lineRule="auto"/>
              <w:jc w:val="center"/>
              <w:rPr>
                <w:rFonts w:cs="Calibri"/>
                <w:b/>
                <w:bCs/>
                <w:color w:val="000000"/>
                <w:kern w:val="2"/>
                <w:sz w:val="18"/>
                <w:szCs w:val="18"/>
              </w:rPr>
            </w:pPr>
            <w:r>
              <w:rPr>
                <w:rFonts w:cs="Calibri"/>
                <w:b/>
                <w:bCs/>
                <w:color w:val="000000"/>
                <w:kern w:val="2"/>
                <w:sz w:val="18"/>
                <w:szCs w:val="18"/>
              </w:rPr>
              <w:t xml:space="preserve">                 363,652</w:t>
            </w:r>
          </w:p>
        </w:tc>
        <w:tc>
          <w:tcPr>
            <w:tcW w:w="859" w:type="dxa"/>
            <w:gridSpan w:val="2"/>
            <w:tcBorders>
              <w:top w:val="single" w:sz="4" w:space="0" w:color="auto"/>
              <w:left w:val="nil"/>
              <w:bottom w:val="single" w:sz="4" w:space="0" w:color="auto"/>
              <w:right w:val="nil"/>
            </w:tcBorders>
          </w:tcPr>
          <w:p w14:paraId="50EC7521" w14:textId="77777777" w:rsidR="00F63659" w:rsidRDefault="00F63659" w:rsidP="00CC7A1D">
            <w:pPr>
              <w:widowControl w:val="0"/>
              <w:autoSpaceDE w:val="0"/>
              <w:adjustRightInd w:val="0"/>
              <w:spacing w:after="0" w:line="240" w:lineRule="auto"/>
              <w:jc w:val="right"/>
              <w:rPr>
                <w:rFonts w:cs="Calibri"/>
                <w:b/>
                <w:bCs/>
                <w:color w:val="000000"/>
                <w:kern w:val="2"/>
                <w:sz w:val="18"/>
                <w:szCs w:val="18"/>
              </w:rPr>
            </w:pPr>
          </w:p>
        </w:tc>
        <w:tc>
          <w:tcPr>
            <w:tcW w:w="1551" w:type="dxa"/>
            <w:gridSpan w:val="2"/>
            <w:tcBorders>
              <w:top w:val="single" w:sz="4" w:space="0" w:color="auto"/>
              <w:left w:val="nil"/>
              <w:bottom w:val="single" w:sz="4" w:space="0" w:color="auto"/>
              <w:right w:val="nil"/>
            </w:tcBorders>
            <w:vAlign w:val="bottom"/>
          </w:tcPr>
          <w:p w14:paraId="1A564E7A" w14:textId="77777777" w:rsidR="00F63659" w:rsidRDefault="00F63659" w:rsidP="00CC7A1D">
            <w:pPr>
              <w:widowControl w:val="0"/>
              <w:autoSpaceDE w:val="0"/>
              <w:adjustRightInd w:val="0"/>
              <w:spacing w:after="0" w:line="240" w:lineRule="auto"/>
              <w:jc w:val="center"/>
              <w:rPr>
                <w:rFonts w:cs="Calibri"/>
                <w:b/>
                <w:bCs/>
                <w:color w:val="000000"/>
                <w:kern w:val="2"/>
                <w:sz w:val="18"/>
                <w:szCs w:val="18"/>
              </w:rPr>
            </w:pPr>
            <w:r>
              <w:rPr>
                <w:rFonts w:cs="Calibri"/>
                <w:b/>
                <w:bCs/>
                <w:color w:val="000000"/>
                <w:kern w:val="2"/>
                <w:sz w:val="18"/>
                <w:szCs w:val="18"/>
              </w:rPr>
              <w:t xml:space="preserve">                  62,573</w:t>
            </w:r>
          </w:p>
        </w:tc>
      </w:tr>
    </w:tbl>
    <w:p w14:paraId="2A887CEC" w14:textId="77777777" w:rsidR="00F63659" w:rsidRDefault="00F63659" w:rsidP="00F63659">
      <w:pPr>
        <w:widowControl w:val="0"/>
        <w:autoSpaceDE w:val="0"/>
        <w:adjustRightInd w:val="0"/>
        <w:spacing w:before="120" w:after="120" w:line="240" w:lineRule="auto"/>
        <w:jc w:val="both"/>
        <w:rPr>
          <w:rFonts w:cs="Calibri"/>
          <w:b/>
          <w:bCs/>
          <w:kern w:val="2"/>
          <w:sz w:val="18"/>
          <w:szCs w:val="18"/>
        </w:rPr>
      </w:pPr>
      <w:r>
        <w:rPr>
          <w:rFonts w:cs="Calibri"/>
          <w:b/>
          <w:bCs/>
          <w:kern w:val="2"/>
          <w:sz w:val="18"/>
          <w:szCs w:val="18"/>
        </w:rPr>
        <w:br w:type="page"/>
      </w:r>
    </w:p>
    <w:p w14:paraId="512D4047"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lastRenderedPageBreak/>
        <w:t>NOTES TO THE FINANCIAL STATEMENTS</w:t>
      </w:r>
    </w:p>
    <w:p w14:paraId="5007B5C4" w14:textId="77777777" w:rsidR="00F63659" w:rsidRDefault="00F63659" w:rsidP="00F63659">
      <w:pPr>
        <w:widowControl w:val="0"/>
        <w:autoSpaceDE w:val="0"/>
        <w:adjustRightInd w:val="0"/>
        <w:spacing w:after="0" w:line="240" w:lineRule="auto"/>
        <w:rPr>
          <w:rFonts w:cs="Calibri"/>
          <w:b/>
          <w:bCs/>
          <w:kern w:val="2"/>
          <w:sz w:val="20"/>
          <w:szCs w:val="20"/>
        </w:rPr>
      </w:pPr>
      <w:r>
        <w:rPr>
          <w:rFonts w:cs="Calibri"/>
          <w:b/>
          <w:bCs/>
          <w:kern w:val="2"/>
          <w:sz w:val="20"/>
          <w:szCs w:val="20"/>
        </w:rPr>
        <w:t>for the year ended 31 January 2021</w:t>
      </w:r>
    </w:p>
    <w:p w14:paraId="52D4EF1A" w14:textId="77777777" w:rsidR="00F63659" w:rsidRDefault="00F63659" w:rsidP="00F63659">
      <w:pPr>
        <w:autoSpaceDE w:val="0"/>
        <w:adjustRightInd w:val="0"/>
        <w:spacing w:after="0" w:line="240" w:lineRule="auto"/>
        <w:ind w:left="426"/>
        <w:rPr>
          <w:rFonts w:cs="Calibri"/>
          <w:b/>
          <w:bCs/>
          <w:kern w:val="2"/>
          <w:sz w:val="18"/>
          <w:szCs w:val="18"/>
        </w:rPr>
      </w:pPr>
    </w:p>
    <w:p w14:paraId="4DE59C8D" w14:textId="77777777" w:rsidR="00F63659" w:rsidRDefault="00F63659" w:rsidP="00F63659">
      <w:pPr>
        <w:autoSpaceDE w:val="0"/>
        <w:adjustRightInd w:val="0"/>
        <w:spacing w:after="0" w:line="240" w:lineRule="auto"/>
        <w:ind w:left="426"/>
        <w:rPr>
          <w:rFonts w:cs="Calibri"/>
          <w:b/>
          <w:bCs/>
          <w:kern w:val="2"/>
          <w:sz w:val="18"/>
          <w:szCs w:val="18"/>
        </w:rPr>
      </w:pPr>
    </w:p>
    <w:p w14:paraId="7CB39A78" w14:textId="77777777" w:rsidR="00F63659" w:rsidRDefault="00F63659" w:rsidP="00F63659">
      <w:pPr>
        <w:numPr>
          <w:ilvl w:val="0"/>
          <w:numId w:val="4"/>
        </w:numPr>
        <w:suppressAutoHyphens w:val="0"/>
        <w:autoSpaceDE w:val="0"/>
        <w:adjustRightInd w:val="0"/>
        <w:spacing w:after="0" w:line="240" w:lineRule="auto"/>
        <w:ind w:left="426" w:hanging="360"/>
        <w:textAlignment w:val="auto"/>
        <w:rPr>
          <w:rFonts w:cs="Calibri"/>
          <w:b/>
          <w:bCs/>
          <w:kern w:val="2"/>
          <w:sz w:val="18"/>
          <w:szCs w:val="18"/>
        </w:rPr>
      </w:pPr>
      <w:r>
        <w:rPr>
          <w:rFonts w:cs="Calibri"/>
          <w:b/>
          <w:bCs/>
          <w:kern w:val="2"/>
          <w:sz w:val="18"/>
          <w:szCs w:val="18"/>
        </w:rPr>
        <w:t>GENERAL INFORMATION</w:t>
      </w:r>
    </w:p>
    <w:p w14:paraId="1139F837" w14:textId="77777777" w:rsidR="00F63659" w:rsidRDefault="00F63659" w:rsidP="00F63659">
      <w:pPr>
        <w:widowControl w:val="0"/>
        <w:autoSpaceDE w:val="0"/>
        <w:adjustRightInd w:val="0"/>
        <w:spacing w:before="120" w:after="120" w:line="240" w:lineRule="auto"/>
        <w:ind w:left="720"/>
        <w:jc w:val="both"/>
        <w:rPr>
          <w:rFonts w:cs="Calibri"/>
          <w:kern w:val="2"/>
          <w:sz w:val="21"/>
          <w:szCs w:val="21"/>
        </w:rPr>
      </w:pPr>
    </w:p>
    <w:p w14:paraId="77F40AF4"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 xml:space="preserve">The Company was incorporated on 28 January 2013 in England and Wales as a limited company, limited by shares and with Registered Number 08377465 under the Companies Act 2006. The Company’s registered office address is: New Liverpool House, 15-17 Eldon Street, London EC2M 7LD. The Company has not yet commenced business.  The company re-registered as a public limited company on 22 October 2018. </w:t>
      </w:r>
    </w:p>
    <w:p w14:paraId="68551C96"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2436A0B4"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The Company’s objective is to undertake an acquisition of a target company or business in the natural resources sector.</w:t>
      </w:r>
    </w:p>
    <w:p w14:paraId="5EBFD6A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009BC162"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The Company does not have a defined life as it has no fixed time limit to conduct the Acquisition</w:t>
      </w:r>
    </w:p>
    <w:p w14:paraId="72567CDA"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7B00B67F"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Other than the Directors the company did not have any staff.</w:t>
      </w:r>
    </w:p>
    <w:p w14:paraId="656622E4"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1A556F4E"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2.</w:t>
      </w:r>
      <w:r>
        <w:rPr>
          <w:rFonts w:cs="Calibri"/>
          <w:b/>
          <w:bCs/>
          <w:kern w:val="2"/>
          <w:sz w:val="18"/>
          <w:szCs w:val="18"/>
        </w:rPr>
        <w:tab/>
        <w:t xml:space="preserve">ACCOUNTING POLICIES </w:t>
      </w:r>
    </w:p>
    <w:p w14:paraId="5A9BBB15" w14:textId="77777777" w:rsidR="00F63659" w:rsidRDefault="00F63659" w:rsidP="00F63659">
      <w:pPr>
        <w:widowControl w:val="0"/>
        <w:autoSpaceDE w:val="0"/>
        <w:adjustRightInd w:val="0"/>
        <w:spacing w:before="120" w:after="120" w:line="240" w:lineRule="auto"/>
        <w:ind w:left="426"/>
        <w:jc w:val="both"/>
        <w:rPr>
          <w:rFonts w:cs="Calibri"/>
          <w:b/>
          <w:bCs/>
          <w:kern w:val="2"/>
          <w:sz w:val="18"/>
          <w:szCs w:val="18"/>
        </w:rPr>
      </w:pPr>
    </w:p>
    <w:p w14:paraId="2364F3DD"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r>
        <w:rPr>
          <w:rFonts w:cs="Calibri"/>
          <w:b/>
          <w:bCs/>
          <w:i/>
          <w:iCs/>
          <w:kern w:val="2"/>
          <w:sz w:val="18"/>
          <w:szCs w:val="18"/>
        </w:rPr>
        <w:t>Basis of preparation</w:t>
      </w:r>
    </w:p>
    <w:p w14:paraId="72EC39F4"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p>
    <w:p w14:paraId="6B782938"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The principal accounting policies adopted by the Company in the preparation of the Company Financial Information are set out below.</w:t>
      </w:r>
    </w:p>
    <w:p w14:paraId="7BD2329D"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49ECB92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The Company Financial Information has been presented in Pounds Sterling, being the functional currency of the Company.</w:t>
      </w:r>
    </w:p>
    <w:p w14:paraId="1988F533"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3633770D"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The Company Financial Information has been prepared in accordance with International Financial Reporting Standards as adopted by the European Union, including interpretations made by the International Financial Reporting Interpretations Committee (IFRIC) issued by the International Accounting Standards Board (IASB). The standards have been applied consistently.</w:t>
      </w:r>
    </w:p>
    <w:p w14:paraId="6F6AF92C"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75E609D0"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r>
        <w:rPr>
          <w:rFonts w:cs="Calibri"/>
          <w:b/>
          <w:bCs/>
          <w:i/>
          <w:iCs/>
          <w:kern w:val="2"/>
          <w:sz w:val="18"/>
          <w:szCs w:val="18"/>
        </w:rPr>
        <w:t>Standards and interpretations issued but not yet applied</w:t>
      </w:r>
    </w:p>
    <w:p w14:paraId="15136215"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A number of new standards and amendments to standards and interpretations have been issued but are not yet effective and, in some cases, have not yet been adopted by the EU. The Directors do not expect that the adoption of these standards will have a material impact on the Company Financial Information.</w:t>
      </w:r>
    </w:p>
    <w:p w14:paraId="23A67A4D"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p>
    <w:p w14:paraId="44AE9811"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r>
        <w:rPr>
          <w:rFonts w:cs="Calibri"/>
          <w:b/>
          <w:bCs/>
          <w:i/>
          <w:iCs/>
          <w:kern w:val="2"/>
          <w:sz w:val="18"/>
          <w:szCs w:val="18"/>
        </w:rPr>
        <w:t>Going concern</w:t>
      </w:r>
    </w:p>
    <w:p w14:paraId="790C9193"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 xml:space="preserve">These financial statements have been prepared on a going concern basis as the Directors have reasonable expectation that the Company has adequate resources to continue in operational existence. The Company is a start-up company and does not currently have any service offering or customer base, however, it has successfully been admitted to the London Stock Exchange (“LSE”) – Main Market where it has already raised £726,667 to fund its business plans. </w:t>
      </w:r>
    </w:p>
    <w:p w14:paraId="7239A697"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28B8E82B"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 xml:space="preserve">The Directors consider there to be uncertainty over the timing and occurrence of a potential acquisition, however given the proceeds raised to the date of this report and having regard to forecast operating costs there is sufficient headroom to </w:t>
      </w:r>
      <w:r>
        <w:rPr>
          <w:rFonts w:cs="Calibri"/>
          <w:kern w:val="2"/>
          <w:sz w:val="18"/>
          <w:szCs w:val="18"/>
        </w:rPr>
        <w:lastRenderedPageBreak/>
        <w:t>remain in operational existence for a period of at least 12 months from the date the financial statements were approved.</w:t>
      </w:r>
    </w:p>
    <w:p w14:paraId="58AF7018"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p>
    <w:p w14:paraId="5D6C2494"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r>
        <w:rPr>
          <w:rFonts w:cs="Calibri"/>
          <w:b/>
          <w:bCs/>
          <w:i/>
          <w:iCs/>
          <w:kern w:val="2"/>
          <w:sz w:val="18"/>
          <w:szCs w:val="18"/>
        </w:rPr>
        <w:t xml:space="preserve">Share capital </w:t>
      </w:r>
    </w:p>
    <w:p w14:paraId="18C43622"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Proceeds from issuance of ordinary shares are classified as equity. Amounts in excess of the nominal value of the shares issued is recognised as share premium. Incremental costs directly attributable to the issuance of new ordinary shares are deducted against share capital.</w:t>
      </w:r>
    </w:p>
    <w:p w14:paraId="3A5D6D33"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p>
    <w:p w14:paraId="2D3315DF" w14:textId="77777777" w:rsidR="00F63659" w:rsidRDefault="00F63659" w:rsidP="00F63659">
      <w:pPr>
        <w:widowControl w:val="0"/>
        <w:autoSpaceDE w:val="0"/>
        <w:adjustRightInd w:val="0"/>
        <w:spacing w:before="120" w:after="120" w:line="240" w:lineRule="auto"/>
        <w:ind w:left="426"/>
        <w:jc w:val="both"/>
        <w:rPr>
          <w:rFonts w:cs="Calibri"/>
          <w:b/>
          <w:bCs/>
          <w:i/>
          <w:iCs/>
          <w:kern w:val="2"/>
          <w:sz w:val="18"/>
          <w:szCs w:val="18"/>
        </w:rPr>
      </w:pPr>
      <w:r>
        <w:rPr>
          <w:rFonts w:cs="Calibri"/>
          <w:b/>
          <w:bCs/>
          <w:i/>
          <w:iCs/>
          <w:kern w:val="2"/>
          <w:sz w:val="18"/>
          <w:szCs w:val="18"/>
        </w:rPr>
        <w:t xml:space="preserve">Financial assets and liabilities </w:t>
      </w:r>
    </w:p>
    <w:p w14:paraId="1BDAC569"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Financial assets and financial liabilities are recognised when the Company becomes a party to the contractual provisions of a financial instrument. Financial assets and financial liabilities are offset if there is a legally enforceable right to set off the recognised amounts and interests and it is intended to settle on a net basis.</w:t>
      </w:r>
    </w:p>
    <w:p w14:paraId="32D405D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0AF1DC62" w14:textId="77777777" w:rsidR="00F63659" w:rsidRDefault="00F63659" w:rsidP="00F63659">
      <w:pPr>
        <w:widowControl w:val="0"/>
        <w:autoSpaceDE w:val="0"/>
        <w:adjustRightInd w:val="0"/>
        <w:spacing w:before="120" w:after="120" w:line="240" w:lineRule="auto"/>
        <w:ind w:left="426"/>
        <w:jc w:val="both"/>
        <w:rPr>
          <w:rFonts w:cs="Calibri"/>
          <w:i/>
          <w:iCs/>
          <w:kern w:val="2"/>
          <w:sz w:val="18"/>
          <w:szCs w:val="18"/>
        </w:rPr>
      </w:pPr>
      <w:r>
        <w:rPr>
          <w:rFonts w:cs="Calibri"/>
          <w:i/>
          <w:iCs/>
          <w:kern w:val="2"/>
          <w:sz w:val="18"/>
          <w:szCs w:val="18"/>
        </w:rPr>
        <w:t xml:space="preserve">Financial assets </w:t>
      </w:r>
    </w:p>
    <w:p w14:paraId="7BA0610F"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Financial assets which are measured at amortised cost, are measured using the Effective Interest Rate Method (EIR) and are subject to impairment. Gains and losses are recognised in profit or loss when the asset is derecognised, modified or impaired.</w:t>
      </w:r>
    </w:p>
    <w:p w14:paraId="52B864E6" w14:textId="77777777" w:rsidR="00F63659" w:rsidRDefault="00F63659" w:rsidP="00F63659">
      <w:pPr>
        <w:autoSpaceDE w:val="0"/>
        <w:adjustRightInd w:val="0"/>
        <w:spacing w:after="0" w:line="240" w:lineRule="auto"/>
        <w:rPr>
          <w:rFonts w:cs="Calibri"/>
          <w:kern w:val="2"/>
          <w:sz w:val="18"/>
          <w:szCs w:val="18"/>
        </w:rPr>
      </w:pPr>
      <w:r>
        <w:rPr>
          <w:rFonts w:cs="Calibri"/>
          <w:kern w:val="2"/>
          <w:sz w:val="18"/>
          <w:szCs w:val="18"/>
        </w:rPr>
        <w:tab/>
      </w:r>
    </w:p>
    <w:p w14:paraId="0703AD7D" w14:textId="77777777" w:rsidR="00F63659" w:rsidRDefault="00F63659" w:rsidP="00F63659">
      <w:pPr>
        <w:widowControl w:val="0"/>
        <w:tabs>
          <w:tab w:val="left" w:pos="6045"/>
        </w:tabs>
        <w:autoSpaceDE w:val="0"/>
        <w:adjustRightInd w:val="0"/>
        <w:spacing w:before="120" w:after="120" w:line="240" w:lineRule="auto"/>
        <w:ind w:left="426"/>
        <w:jc w:val="both"/>
        <w:rPr>
          <w:rFonts w:cs="Calibri"/>
          <w:i/>
          <w:iCs/>
          <w:kern w:val="2"/>
          <w:sz w:val="18"/>
          <w:szCs w:val="18"/>
        </w:rPr>
      </w:pPr>
      <w:r>
        <w:rPr>
          <w:rFonts w:cs="Calibri"/>
          <w:i/>
          <w:iCs/>
          <w:kern w:val="2"/>
          <w:sz w:val="18"/>
          <w:szCs w:val="18"/>
        </w:rPr>
        <w:t>Financial liabilities</w:t>
      </w:r>
      <w:r>
        <w:rPr>
          <w:rFonts w:cs="Calibri"/>
          <w:i/>
          <w:iCs/>
          <w:kern w:val="2"/>
          <w:sz w:val="18"/>
          <w:szCs w:val="18"/>
        </w:rPr>
        <w:tab/>
      </w:r>
    </w:p>
    <w:p w14:paraId="33235766"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The company does not currently have any financial liabilities measured at fair value through profit or loss, therefore all the financial liabilities are initially measured at fair value net of transaction costs and are subsequently measured at amortised cost.</w:t>
      </w:r>
    </w:p>
    <w:p w14:paraId="6DDCA65D"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44E73479" w14:textId="77777777" w:rsidR="00F63659" w:rsidRDefault="00F63659" w:rsidP="00F63659">
      <w:pPr>
        <w:widowControl w:val="0"/>
        <w:autoSpaceDE w:val="0"/>
        <w:adjustRightInd w:val="0"/>
        <w:spacing w:before="120" w:after="120" w:line="240" w:lineRule="auto"/>
        <w:ind w:firstLine="426"/>
        <w:jc w:val="both"/>
        <w:rPr>
          <w:rFonts w:cs="Calibri"/>
          <w:b/>
          <w:bCs/>
          <w:i/>
          <w:iCs/>
          <w:kern w:val="2"/>
          <w:sz w:val="18"/>
          <w:szCs w:val="18"/>
        </w:rPr>
      </w:pPr>
      <w:r>
        <w:rPr>
          <w:rFonts w:cs="Calibri"/>
          <w:b/>
          <w:bCs/>
          <w:i/>
          <w:iCs/>
          <w:kern w:val="2"/>
          <w:sz w:val="18"/>
          <w:szCs w:val="18"/>
        </w:rPr>
        <w:t>Use of assumptions and estimates</w:t>
      </w:r>
    </w:p>
    <w:p w14:paraId="74D4D501" w14:textId="77777777" w:rsidR="00F63659" w:rsidRDefault="00F63659" w:rsidP="00F63659">
      <w:pPr>
        <w:widowControl w:val="0"/>
        <w:autoSpaceDE w:val="0"/>
        <w:adjustRightInd w:val="0"/>
        <w:spacing w:before="120" w:after="120" w:line="240" w:lineRule="auto"/>
        <w:ind w:left="426"/>
        <w:jc w:val="both"/>
        <w:rPr>
          <w:rFonts w:cs="Calibri"/>
          <w:kern w:val="2"/>
          <w:sz w:val="18"/>
          <w:szCs w:val="18"/>
          <w:lang w:val="en-US"/>
        </w:rPr>
      </w:pPr>
      <w:r>
        <w:rPr>
          <w:rFonts w:cs="Calibri"/>
          <w:kern w:val="2"/>
          <w:sz w:val="18"/>
          <w:szCs w:val="18"/>
          <w:lang w:val="en-US"/>
        </w:rPr>
        <w:t xml:space="preserve">In </w:t>
      </w:r>
      <w:r>
        <w:rPr>
          <w:rFonts w:cs="Calibri"/>
          <w:kern w:val="2"/>
          <w:sz w:val="18"/>
          <w:szCs w:val="18"/>
        </w:rPr>
        <w:t>preparing the Company Financial Information, the Directors have to make judgments on how to apply the Company’s accounting policies and make estimates about the future.  The Directors do not consider there to be any critical judgments or sources of estimation uncertainty that have been made in arriving at the amounts recognised in the Company Financial Information</w:t>
      </w:r>
      <w:r>
        <w:rPr>
          <w:rFonts w:cs="Calibri"/>
          <w:kern w:val="2"/>
          <w:sz w:val="18"/>
          <w:szCs w:val="18"/>
          <w:lang w:val="en-US"/>
        </w:rPr>
        <w:t>.</w:t>
      </w:r>
    </w:p>
    <w:p w14:paraId="23FC7968" w14:textId="77777777" w:rsidR="00F63659" w:rsidRDefault="00F63659" w:rsidP="00F63659">
      <w:pPr>
        <w:widowControl w:val="0"/>
        <w:autoSpaceDE w:val="0"/>
        <w:adjustRightInd w:val="0"/>
        <w:spacing w:before="120" w:after="120" w:line="240" w:lineRule="auto"/>
        <w:ind w:left="426"/>
        <w:jc w:val="both"/>
        <w:rPr>
          <w:rFonts w:cs="Calibri"/>
          <w:kern w:val="2"/>
          <w:sz w:val="18"/>
          <w:szCs w:val="18"/>
          <w:lang w:val="en-US"/>
        </w:rPr>
      </w:pPr>
    </w:p>
    <w:p w14:paraId="27CA4FF1"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3.</w:t>
      </w:r>
      <w:r>
        <w:rPr>
          <w:rFonts w:cs="Calibri"/>
          <w:b/>
          <w:bCs/>
          <w:kern w:val="2"/>
          <w:sz w:val="18"/>
          <w:szCs w:val="18"/>
        </w:rPr>
        <w:tab/>
        <w:t>AUDITORS’ REMUNERATION</w:t>
      </w:r>
    </w:p>
    <w:p w14:paraId="17699D21" w14:textId="77777777" w:rsidR="00F63659" w:rsidRDefault="00F63659" w:rsidP="00F63659">
      <w:pPr>
        <w:widowControl w:val="0"/>
        <w:autoSpaceDE w:val="0"/>
        <w:adjustRightInd w:val="0"/>
        <w:spacing w:before="120" w:after="0" w:line="240" w:lineRule="auto"/>
        <w:ind w:left="426"/>
        <w:jc w:val="both"/>
        <w:rPr>
          <w:rFonts w:ascii="Times New Roman" w:hAnsi="Times New Roman"/>
          <w:kern w:val="2"/>
          <w:sz w:val="20"/>
          <w:szCs w:val="20"/>
        </w:rPr>
      </w:pPr>
    </w:p>
    <w:p w14:paraId="49BDC6E4"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The loss before income tax is stated after charging:</w:t>
      </w:r>
    </w:p>
    <w:tbl>
      <w:tblPr>
        <w:tblW w:w="0" w:type="auto"/>
        <w:tblInd w:w="426" w:type="dxa"/>
        <w:tblLayout w:type="fixed"/>
        <w:tblLook w:val="0000" w:firstRow="0" w:lastRow="0" w:firstColumn="0" w:lastColumn="0" w:noHBand="0" w:noVBand="0"/>
      </w:tblPr>
      <w:tblGrid>
        <w:gridCol w:w="6121"/>
        <w:gridCol w:w="1480"/>
        <w:gridCol w:w="1433"/>
        <w:gridCol w:w="1433"/>
      </w:tblGrid>
      <w:tr w:rsidR="00F63659" w14:paraId="4FCC6B2C" w14:textId="77777777" w:rsidTr="00CC7A1D">
        <w:tc>
          <w:tcPr>
            <w:tcW w:w="6121" w:type="dxa"/>
            <w:tcBorders>
              <w:top w:val="nil"/>
              <w:left w:val="nil"/>
              <w:bottom w:val="nil"/>
              <w:right w:val="nil"/>
            </w:tcBorders>
          </w:tcPr>
          <w:p w14:paraId="1083F2BF"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p>
        </w:tc>
        <w:tc>
          <w:tcPr>
            <w:tcW w:w="1480" w:type="dxa"/>
            <w:tcBorders>
              <w:top w:val="nil"/>
              <w:left w:val="nil"/>
              <w:bottom w:val="nil"/>
              <w:right w:val="nil"/>
            </w:tcBorders>
          </w:tcPr>
          <w:p w14:paraId="31043BAA"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2021</w:t>
            </w:r>
          </w:p>
          <w:p w14:paraId="0A71BE08"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c>
          <w:tcPr>
            <w:tcW w:w="1433" w:type="dxa"/>
            <w:tcBorders>
              <w:top w:val="nil"/>
              <w:left w:val="nil"/>
              <w:bottom w:val="nil"/>
              <w:right w:val="nil"/>
            </w:tcBorders>
          </w:tcPr>
          <w:p w14:paraId="4893E124"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2020</w:t>
            </w:r>
          </w:p>
          <w:p w14:paraId="6C3110AB"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c>
          <w:tcPr>
            <w:tcW w:w="1433" w:type="dxa"/>
            <w:tcBorders>
              <w:top w:val="nil"/>
              <w:left w:val="nil"/>
              <w:bottom w:val="nil"/>
              <w:right w:val="nil"/>
            </w:tcBorders>
          </w:tcPr>
          <w:p w14:paraId="31597439"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r>
      <w:tr w:rsidR="00F63659" w14:paraId="5ED5252E" w14:textId="77777777" w:rsidTr="00CC7A1D">
        <w:tc>
          <w:tcPr>
            <w:tcW w:w="6121" w:type="dxa"/>
            <w:tcBorders>
              <w:top w:val="nil"/>
              <w:left w:val="nil"/>
              <w:bottom w:val="nil"/>
              <w:right w:val="nil"/>
            </w:tcBorders>
          </w:tcPr>
          <w:p w14:paraId="70386739"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Auditors’ remuneration:</w:t>
            </w:r>
          </w:p>
        </w:tc>
        <w:tc>
          <w:tcPr>
            <w:tcW w:w="1480" w:type="dxa"/>
            <w:tcBorders>
              <w:top w:val="nil"/>
              <w:left w:val="nil"/>
              <w:bottom w:val="nil"/>
              <w:right w:val="nil"/>
            </w:tcBorders>
          </w:tcPr>
          <w:p w14:paraId="3EDCF9A8"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tc>
        <w:tc>
          <w:tcPr>
            <w:tcW w:w="1433" w:type="dxa"/>
            <w:tcBorders>
              <w:top w:val="nil"/>
              <w:left w:val="nil"/>
              <w:bottom w:val="nil"/>
              <w:right w:val="nil"/>
            </w:tcBorders>
          </w:tcPr>
          <w:p w14:paraId="3E6276ED"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tc>
        <w:tc>
          <w:tcPr>
            <w:tcW w:w="1433" w:type="dxa"/>
            <w:tcBorders>
              <w:top w:val="nil"/>
              <w:left w:val="nil"/>
              <w:bottom w:val="nil"/>
              <w:right w:val="nil"/>
            </w:tcBorders>
          </w:tcPr>
          <w:p w14:paraId="62793438"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tc>
      </w:tr>
      <w:tr w:rsidR="00F63659" w14:paraId="3FEB8130" w14:textId="77777777" w:rsidTr="00CC7A1D">
        <w:tc>
          <w:tcPr>
            <w:tcW w:w="6121" w:type="dxa"/>
            <w:tcBorders>
              <w:top w:val="nil"/>
              <w:left w:val="nil"/>
              <w:bottom w:val="nil"/>
              <w:right w:val="nil"/>
            </w:tcBorders>
          </w:tcPr>
          <w:p w14:paraId="32003193"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Fees payable to the Company’s auditor for the audit of the Company’s annual accounts</w:t>
            </w:r>
          </w:p>
        </w:tc>
        <w:tc>
          <w:tcPr>
            <w:tcW w:w="1480" w:type="dxa"/>
            <w:tcBorders>
              <w:top w:val="nil"/>
              <w:left w:val="nil"/>
              <w:bottom w:val="nil"/>
              <w:right w:val="nil"/>
            </w:tcBorders>
          </w:tcPr>
          <w:p w14:paraId="4C7AA267"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17B526A2"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18,300</w:t>
            </w:r>
          </w:p>
        </w:tc>
        <w:tc>
          <w:tcPr>
            <w:tcW w:w="1433" w:type="dxa"/>
            <w:tcBorders>
              <w:top w:val="nil"/>
              <w:left w:val="nil"/>
              <w:bottom w:val="nil"/>
              <w:right w:val="nil"/>
            </w:tcBorders>
          </w:tcPr>
          <w:p w14:paraId="1B97C6D5"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28B392C7"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12,500</w:t>
            </w:r>
          </w:p>
        </w:tc>
        <w:tc>
          <w:tcPr>
            <w:tcW w:w="1433" w:type="dxa"/>
            <w:tcBorders>
              <w:top w:val="nil"/>
              <w:left w:val="nil"/>
              <w:bottom w:val="nil"/>
              <w:right w:val="nil"/>
            </w:tcBorders>
          </w:tcPr>
          <w:p w14:paraId="0C129504"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tc>
      </w:tr>
      <w:tr w:rsidR="00F63659" w14:paraId="4F68A608" w14:textId="77777777" w:rsidTr="00CC7A1D">
        <w:tc>
          <w:tcPr>
            <w:tcW w:w="6121" w:type="dxa"/>
            <w:tcBorders>
              <w:top w:val="nil"/>
              <w:left w:val="nil"/>
              <w:bottom w:val="nil"/>
              <w:right w:val="nil"/>
            </w:tcBorders>
          </w:tcPr>
          <w:p w14:paraId="48C7D3E5"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Fees payable to the Company’s auditor for other services:</w:t>
            </w:r>
          </w:p>
          <w:p w14:paraId="3518E0A4"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 xml:space="preserve">Corporate finance services </w:t>
            </w:r>
          </w:p>
        </w:tc>
        <w:tc>
          <w:tcPr>
            <w:tcW w:w="1480" w:type="dxa"/>
            <w:tcBorders>
              <w:top w:val="nil"/>
              <w:left w:val="nil"/>
              <w:bottom w:val="nil"/>
              <w:right w:val="nil"/>
            </w:tcBorders>
          </w:tcPr>
          <w:p w14:paraId="166ED55D"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34FC05D6"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4378AD4C"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18,000</w:t>
            </w:r>
          </w:p>
        </w:tc>
        <w:tc>
          <w:tcPr>
            <w:tcW w:w="1433" w:type="dxa"/>
            <w:tcBorders>
              <w:top w:val="nil"/>
              <w:left w:val="nil"/>
              <w:bottom w:val="nil"/>
              <w:right w:val="nil"/>
            </w:tcBorders>
          </w:tcPr>
          <w:p w14:paraId="079D0C30"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2EE93D2B"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44DC6925"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1,500</w:t>
            </w:r>
          </w:p>
        </w:tc>
        <w:tc>
          <w:tcPr>
            <w:tcW w:w="1433" w:type="dxa"/>
            <w:tcBorders>
              <w:top w:val="nil"/>
              <w:left w:val="nil"/>
              <w:bottom w:val="nil"/>
              <w:right w:val="nil"/>
            </w:tcBorders>
          </w:tcPr>
          <w:p w14:paraId="56BA9811"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tc>
      </w:tr>
    </w:tbl>
    <w:p w14:paraId="7CB66349" w14:textId="77777777" w:rsidR="00F63659" w:rsidRDefault="00F63659" w:rsidP="00F63659">
      <w:pPr>
        <w:widowControl w:val="0"/>
        <w:autoSpaceDE w:val="0"/>
        <w:adjustRightInd w:val="0"/>
        <w:spacing w:before="120" w:after="0" w:line="240" w:lineRule="auto"/>
        <w:ind w:left="426"/>
        <w:jc w:val="both"/>
        <w:rPr>
          <w:rFonts w:ascii="Times New Roman" w:hAnsi="Times New Roman"/>
          <w:kern w:val="2"/>
          <w:sz w:val="20"/>
          <w:szCs w:val="20"/>
        </w:rPr>
      </w:pPr>
    </w:p>
    <w:p w14:paraId="7C0BD450"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4.</w:t>
      </w:r>
      <w:r>
        <w:rPr>
          <w:rFonts w:cs="Calibri"/>
          <w:b/>
          <w:bCs/>
          <w:kern w:val="2"/>
          <w:sz w:val="18"/>
          <w:szCs w:val="18"/>
        </w:rPr>
        <w:tab/>
        <w:t xml:space="preserve">INCOME TAX EXPENSE </w:t>
      </w:r>
    </w:p>
    <w:p w14:paraId="6CDCF75F" w14:textId="77777777" w:rsidR="00F63659" w:rsidRDefault="00F63659" w:rsidP="00F63659">
      <w:pPr>
        <w:widowControl w:val="0"/>
        <w:autoSpaceDE w:val="0"/>
        <w:adjustRightInd w:val="0"/>
        <w:spacing w:before="120" w:after="0" w:line="240" w:lineRule="auto"/>
        <w:ind w:left="426"/>
        <w:jc w:val="both"/>
        <w:rPr>
          <w:rFonts w:ascii="Times New Roman" w:hAnsi="Times New Roman"/>
          <w:kern w:val="2"/>
          <w:sz w:val="20"/>
          <w:szCs w:val="20"/>
        </w:rPr>
      </w:pPr>
    </w:p>
    <w:p w14:paraId="740AF085"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The corporation tax in the UK applied during the year was 19%.</w:t>
      </w:r>
    </w:p>
    <w:p w14:paraId="62BA05A4"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p>
    <w:p w14:paraId="15775101"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The charge for the period can be reconciled to the loss in the Statement of Comprehensive income as follow:</w:t>
      </w:r>
    </w:p>
    <w:tbl>
      <w:tblPr>
        <w:tblW w:w="0" w:type="auto"/>
        <w:tblInd w:w="426" w:type="dxa"/>
        <w:tblLayout w:type="fixed"/>
        <w:tblLook w:val="0000" w:firstRow="0" w:lastRow="0" w:firstColumn="0" w:lastColumn="0" w:noHBand="0" w:noVBand="0"/>
      </w:tblPr>
      <w:tblGrid>
        <w:gridCol w:w="6415"/>
        <w:gridCol w:w="1354"/>
        <w:gridCol w:w="1265"/>
      </w:tblGrid>
      <w:tr w:rsidR="00F63659" w14:paraId="14E03701" w14:textId="77777777" w:rsidTr="00CC7A1D">
        <w:tc>
          <w:tcPr>
            <w:tcW w:w="6415" w:type="dxa"/>
            <w:tcBorders>
              <w:top w:val="nil"/>
              <w:left w:val="nil"/>
              <w:bottom w:val="nil"/>
              <w:right w:val="nil"/>
            </w:tcBorders>
          </w:tcPr>
          <w:p w14:paraId="1D6B4079"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p>
        </w:tc>
        <w:tc>
          <w:tcPr>
            <w:tcW w:w="1354" w:type="dxa"/>
            <w:tcBorders>
              <w:top w:val="nil"/>
              <w:left w:val="nil"/>
              <w:bottom w:val="nil"/>
              <w:right w:val="nil"/>
            </w:tcBorders>
          </w:tcPr>
          <w:p w14:paraId="369522C5"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 xml:space="preserve">2021 </w:t>
            </w:r>
          </w:p>
          <w:p w14:paraId="1263BDFB"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c>
          <w:tcPr>
            <w:tcW w:w="1265" w:type="dxa"/>
            <w:tcBorders>
              <w:top w:val="nil"/>
              <w:left w:val="nil"/>
              <w:bottom w:val="nil"/>
              <w:right w:val="nil"/>
            </w:tcBorders>
          </w:tcPr>
          <w:p w14:paraId="177BF491"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2020</w:t>
            </w:r>
          </w:p>
          <w:p w14:paraId="096222DD"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r>
      <w:tr w:rsidR="00F63659" w14:paraId="61148F1E" w14:textId="77777777" w:rsidTr="00CC7A1D">
        <w:tc>
          <w:tcPr>
            <w:tcW w:w="6415" w:type="dxa"/>
            <w:tcBorders>
              <w:top w:val="nil"/>
              <w:left w:val="nil"/>
              <w:bottom w:val="nil"/>
              <w:right w:val="nil"/>
            </w:tcBorders>
          </w:tcPr>
          <w:p w14:paraId="78AAD61C"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Loss before tax on continuing operations</w:t>
            </w:r>
          </w:p>
        </w:tc>
        <w:tc>
          <w:tcPr>
            <w:tcW w:w="1354" w:type="dxa"/>
            <w:tcBorders>
              <w:top w:val="nil"/>
              <w:left w:val="nil"/>
              <w:bottom w:val="single" w:sz="4" w:space="0" w:color="auto"/>
              <w:right w:val="nil"/>
            </w:tcBorders>
          </w:tcPr>
          <w:p w14:paraId="4CE4EB94"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(207,612)</w:t>
            </w:r>
          </w:p>
        </w:tc>
        <w:tc>
          <w:tcPr>
            <w:tcW w:w="1265" w:type="dxa"/>
            <w:tcBorders>
              <w:top w:val="nil"/>
              <w:left w:val="nil"/>
              <w:bottom w:val="single" w:sz="4" w:space="0" w:color="auto"/>
              <w:right w:val="nil"/>
            </w:tcBorders>
          </w:tcPr>
          <w:p w14:paraId="052E6CE7"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(39,338)</w:t>
            </w:r>
          </w:p>
        </w:tc>
      </w:tr>
      <w:tr w:rsidR="00F63659" w14:paraId="5A0D2AA9" w14:textId="77777777" w:rsidTr="00CC7A1D">
        <w:tc>
          <w:tcPr>
            <w:tcW w:w="6415" w:type="dxa"/>
            <w:tcBorders>
              <w:top w:val="nil"/>
              <w:left w:val="nil"/>
              <w:bottom w:val="nil"/>
              <w:right w:val="nil"/>
            </w:tcBorders>
          </w:tcPr>
          <w:p w14:paraId="6CC34A63"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Tax at the UK corporation tax rate of 19%</w:t>
            </w:r>
          </w:p>
        </w:tc>
        <w:tc>
          <w:tcPr>
            <w:tcW w:w="1354" w:type="dxa"/>
            <w:tcBorders>
              <w:top w:val="nil"/>
              <w:left w:val="nil"/>
              <w:bottom w:val="nil"/>
              <w:right w:val="nil"/>
            </w:tcBorders>
          </w:tcPr>
          <w:p w14:paraId="1B09A5AA"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5C251B3C"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(39,446)</w:t>
            </w:r>
          </w:p>
        </w:tc>
        <w:tc>
          <w:tcPr>
            <w:tcW w:w="1265" w:type="dxa"/>
            <w:tcBorders>
              <w:top w:val="nil"/>
              <w:left w:val="nil"/>
              <w:bottom w:val="nil"/>
              <w:right w:val="nil"/>
            </w:tcBorders>
          </w:tcPr>
          <w:p w14:paraId="1692BAA5"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160F0A5C"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(7,474)</w:t>
            </w:r>
          </w:p>
        </w:tc>
      </w:tr>
      <w:tr w:rsidR="00F63659" w14:paraId="716DC4F4" w14:textId="77777777" w:rsidTr="00CC7A1D">
        <w:tc>
          <w:tcPr>
            <w:tcW w:w="6415" w:type="dxa"/>
            <w:tcBorders>
              <w:top w:val="nil"/>
              <w:left w:val="nil"/>
              <w:bottom w:val="nil"/>
              <w:right w:val="nil"/>
            </w:tcBorders>
          </w:tcPr>
          <w:p w14:paraId="462A7AEC"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 xml:space="preserve">Unutilised tax loss carry forward </w:t>
            </w:r>
          </w:p>
        </w:tc>
        <w:tc>
          <w:tcPr>
            <w:tcW w:w="1354" w:type="dxa"/>
            <w:tcBorders>
              <w:top w:val="nil"/>
              <w:left w:val="nil"/>
              <w:bottom w:val="single" w:sz="4" w:space="0" w:color="auto"/>
              <w:right w:val="nil"/>
            </w:tcBorders>
          </w:tcPr>
          <w:p w14:paraId="66BA8E4B"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1DF1B5EE" w14:textId="77777777" w:rsidR="00F63659" w:rsidRDefault="00F63659" w:rsidP="00CC7A1D">
            <w:pPr>
              <w:widowControl w:val="0"/>
              <w:autoSpaceDE w:val="0"/>
              <w:adjustRightInd w:val="0"/>
              <w:spacing w:after="120" w:line="240" w:lineRule="auto"/>
              <w:jc w:val="center"/>
              <w:rPr>
                <w:rFonts w:cs="Calibri"/>
                <w:color w:val="0D0D0D"/>
                <w:kern w:val="2"/>
                <w:sz w:val="18"/>
                <w:szCs w:val="18"/>
                <w:lang w:val="en-US"/>
              </w:rPr>
            </w:pPr>
            <w:r>
              <w:rPr>
                <w:rFonts w:cs="Calibri"/>
                <w:color w:val="0D0D0D"/>
                <w:kern w:val="2"/>
                <w:sz w:val="18"/>
                <w:szCs w:val="18"/>
                <w:lang w:val="en-US"/>
              </w:rPr>
              <w:t xml:space="preserve">             39,446</w:t>
            </w:r>
          </w:p>
        </w:tc>
        <w:tc>
          <w:tcPr>
            <w:tcW w:w="1265" w:type="dxa"/>
            <w:tcBorders>
              <w:top w:val="nil"/>
              <w:left w:val="nil"/>
              <w:bottom w:val="single" w:sz="4" w:space="0" w:color="auto"/>
              <w:right w:val="nil"/>
            </w:tcBorders>
          </w:tcPr>
          <w:p w14:paraId="5CDD2767"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p>
          <w:p w14:paraId="2B3D803F" w14:textId="77777777" w:rsidR="00F63659" w:rsidRDefault="00F63659" w:rsidP="00CC7A1D">
            <w:pPr>
              <w:widowControl w:val="0"/>
              <w:autoSpaceDE w:val="0"/>
              <w:adjustRightInd w:val="0"/>
              <w:spacing w:after="120" w:line="240" w:lineRule="auto"/>
              <w:jc w:val="center"/>
              <w:rPr>
                <w:rFonts w:cs="Calibri"/>
                <w:color w:val="0D0D0D"/>
                <w:kern w:val="2"/>
                <w:sz w:val="18"/>
                <w:szCs w:val="18"/>
                <w:lang w:val="en-US"/>
              </w:rPr>
            </w:pPr>
            <w:r>
              <w:rPr>
                <w:rFonts w:cs="Calibri"/>
                <w:color w:val="0D0D0D"/>
                <w:kern w:val="2"/>
                <w:sz w:val="18"/>
                <w:szCs w:val="18"/>
                <w:lang w:val="en-US"/>
              </w:rPr>
              <w:t xml:space="preserve">             7,474</w:t>
            </w:r>
          </w:p>
        </w:tc>
      </w:tr>
      <w:tr w:rsidR="00F63659" w14:paraId="7BAD4906" w14:textId="77777777" w:rsidTr="00CC7A1D">
        <w:tc>
          <w:tcPr>
            <w:tcW w:w="6415" w:type="dxa"/>
            <w:tcBorders>
              <w:top w:val="nil"/>
              <w:left w:val="nil"/>
              <w:bottom w:val="nil"/>
              <w:right w:val="nil"/>
            </w:tcBorders>
          </w:tcPr>
          <w:p w14:paraId="1B29BD34"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Tax charge for the period</w:t>
            </w:r>
          </w:p>
        </w:tc>
        <w:tc>
          <w:tcPr>
            <w:tcW w:w="1354" w:type="dxa"/>
            <w:tcBorders>
              <w:top w:val="single" w:sz="4" w:space="0" w:color="auto"/>
              <w:left w:val="nil"/>
              <w:bottom w:val="single" w:sz="4" w:space="0" w:color="auto"/>
              <w:right w:val="nil"/>
            </w:tcBorders>
          </w:tcPr>
          <w:p w14:paraId="2B4C3169" w14:textId="77777777" w:rsidR="00F63659" w:rsidRDefault="00F63659" w:rsidP="00CC7A1D">
            <w:pPr>
              <w:widowControl w:val="0"/>
              <w:autoSpaceDE w:val="0"/>
              <w:adjustRightInd w:val="0"/>
              <w:spacing w:after="120" w:line="240" w:lineRule="auto"/>
              <w:jc w:val="center"/>
              <w:rPr>
                <w:rFonts w:cs="Calibri"/>
                <w:color w:val="0D0D0D"/>
                <w:kern w:val="2"/>
                <w:sz w:val="18"/>
                <w:szCs w:val="18"/>
                <w:lang w:val="en-US"/>
              </w:rPr>
            </w:pPr>
            <w:r>
              <w:rPr>
                <w:rFonts w:cs="Calibri"/>
                <w:color w:val="0D0D0D"/>
                <w:kern w:val="2"/>
                <w:sz w:val="18"/>
                <w:szCs w:val="18"/>
                <w:lang w:val="en-US"/>
              </w:rPr>
              <w:t xml:space="preserve">                      -</w:t>
            </w:r>
          </w:p>
        </w:tc>
        <w:tc>
          <w:tcPr>
            <w:tcW w:w="1265" w:type="dxa"/>
            <w:tcBorders>
              <w:top w:val="single" w:sz="4" w:space="0" w:color="auto"/>
              <w:left w:val="nil"/>
              <w:bottom w:val="single" w:sz="4" w:space="0" w:color="auto"/>
              <w:right w:val="nil"/>
            </w:tcBorders>
          </w:tcPr>
          <w:p w14:paraId="2510417E" w14:textId="77777777" w:rsidR="00F63659" w:rsidRDefault="00F63659" w:rsidP="00CC7A1D">
            <w:pPr>
              <w:widowControl w:val="0"/>
              <w:autoSpaceDE w:val="0"/>
              <w:adjustRightInd w:val="0"/>
              <w:spacing w:after="120" w:line="240" w:lineRule="auto"/>
              <w:jc w:val="center"/>
              <w:rPr>
                <w:rFonts w:cs="Calibri"/>
                <w:color w:val="0D0D0D"/>
                <w:kern w:val="2"/>
                <w:sz w:val="18"/>
                <w:szCs w:val="18"/>
                <w:lang w:val="en-US"/>
              </w:rPr>
            </w:pPr>
            <w:r>
              <w:rPr>
                <w:rFonts w:cs="Calibri"/>
                <w:color w:val="0D0D0D"/>
                <w:kern w:val="2"/>
                <w:sz w:val="18"/>
                <w:szCs w:val="18"/>
                <w:lang w:val="en-US"/>
              </w:rPr>
              <w:t xml:space="preserve">                    -</w:t>
            </w:r>
          </w:p>
        </w:tc>
      </w:tr>
    </w:tbl>
    <w:p w14:paraId="41D76B9B"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The Company has accumulated tax losses of £175,695. No deferred tax asset has been recognised in respect of the losses carried forward, due to the uncertainty as to whether the Company will generate sufficient future profits in the foreseeable future to prudently justify this.</w:t>
      </w:r>
    </w:p>
    <w:p w14:paraId="0048000A" w14:textId="77777777" w:rsidR="00F63659" w:rsidRDefault="00F63659" w:rsidP="00F63659">
      <w:pPr>
        <w:widowControl w:val="0"/>
        <w:autoSpaceDE w:val="0"/>
        <w:adjustRightInd w:val="0"/>
        <w:spacing w:before="120" w:after="120" w:line="240" w:lineRule="auto"/>
        <w:ind w:left="426"/>
        <w:jc w:val="both"/>
        <w:rPr>
          <w:rFonts w:cs="Calibri"/>
          <w:kern w:val="2"/>
          <w:sz w:val="18"/>
          <w:szCs w:val="18"/>
          <w:lang w:val="en-US"/>
        </w:rPr>
      </w:pPr>
    </w:p>
    <w:p w14:paraId="6536343B" w14:textId="77777777" w:rsidR="00F63659" w:rsidRDefault="00F63659" w:rsidP="00F63659">
      <w:pPr>
        <w:widowControl w:val="0"/>
        <w:autoSpaceDE w:val="0"/>
        <w:adjustRightInd w:val="0"/>
        <w:spacing w:before="120" w:after="120" w:line="240" w:lineRule="auto"/>
        <w:jc w:val="both"/>
        <w:rPr>
          <w:rFonts w:cs="Calibri"/>
          <w:kern w:val="2"/>
          <w:sz w:val="18"/>
          <w:szCs w:val="18"/>
          <w:lang w:val="en-US"/>
        </w:rPr>
      </w:pPr>
    </w:p>
    <w:p w14:paraId="6B7EA8E7"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5.</w:t>
      </w:r>
      <w:r>
        <w:rPr>
          <w:rFonts w:cs="Calibri"/>
          <w:b/>
          <w:bCs/>
          <w:kern w:val="2"/>
          <w:sz w:val="18"/>
          <w:szCs w:val="18"/>
        </w:rPr>
        <w:tab/>
        <w:t>TRADE AND OTHER RECEIVABLES</w:t>
      </w:r>
    </w:p>
    <w:tbl>
      <w:tblPr>
        <w:tblW w:w="0" w:type="auto"/>
        <w:tblInd w:w="426" w:type="dxa"/>
        <w:tblLayout w:type="fixed"/>
        <w:tblLook w:val="0000" w:firstRow="0" w:lastRow="0" w:firstColumn="0" w:lastColumn="0" w:noHBand="0" w:noVBand="0"/>
      </w:tblPr>
      <w:tblGrid>
        <w:gridCol w:w="6411"/>
        <w:gridCol w:w="1356"/>
        <w:gridCol w:w="1267"/>
      </w:tblGrid>
      <w:tr w:rsidR="00F63659" w14:paraId="2111A2DE" w14:textId="77777777" w:rsidTr="00CC7A1D">
        <w:tc>
          <w:tcPr>
            <w:tcW w:w="6411" w:type="dxa"/>
            <w:tcBorders>
              <w:top w:val="nil"/>
              <w:left w:val="nil"/>
              <w:bottom w:val="nil"/>
              <w:right w:val="nil"/>
            </w:tcBorders>
          </w:tcPr>
          <w:p w14:paraId="75229C9A"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p>
        </w:tc>
        <w:tc>
          <w:tcPr>
            <w:tcW w:w="1356" w:type="dxa"/>
            <w:tcBorders>
              <w:top w:val="nil"/>
              <w:left w:val="nil"/>
              <w:bottom w:val="nil"/>
              <w:right w:val="nil"/>
            </w:tcBorders>
          </w:tcPr>
          <w:p w14:paraId="4BDEB55C"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2021</w:t>
            </w:r>
          </w:p>
          <w:p w14:paraId="39E0562D"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w:t>
            </w:r>
          </w:p>
        </w:tc>
        <w:tc>
          <w:tcPr>
            <w:tcW w:w="1267" w:type="dxa"/>
            <w:tcBorders>
              <w:top w:val="nil"/>
              <w:left w:val="nil"/>
              <w:bottom w:val="nil"/>
              <w:right w:val="nil"/>
            </w:tcBorders>
          </w:tcPr>
          <w:p w14:paraId="6E56C853"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2020</w:t>
            </w:r>
          </w:p>
          <w:p w14:paraId="124FF90A"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w:t>
            </w:r>
          </w:p>
        </w:tc>
      </w:tr>
      <w:tr w:rsidR="00F63659" w14:paraId="1BE6EDBB" w14:textId="77777777" w:rsidTr="00CC7A1D">
        <w:tc>
          <w:tcPr>
            <w:tcW w:w="6411" w:type="dxa"/>
            <w:tcBorders>
              <w:top w:val="nil"/>
              <w:left w:val="nil"/>
              <w:bottom w:val="nil"/>
              <w:right w:val="nil"/>
            </w:tcBorders>
          </w:tcPr>
          <w:p w14:paraId="3CA1D4E6"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Prepayments</w:t>
            </w:r>
          </w:p>
        </w:tc>
        <w:tc>
          <w:tcPr>
            <w:tcW w:w="1356" w:type="dxa"/>
            <w:tcBorders>
              <w:top w:val="nil"/>
              <w:left w:val="nil"/>
              <w:bottom w:val="nil"/>
              <w:right w:val="nil"/>
            </w:tcBorders>
          </w:tcPr>
          <w:p w14:paraId="27714283"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25,191</w:t>
            </w:r>
          </w:p>
        </w:tc>
        <w:tc>
          <w:tcPr>
            <w:tcW w:w="1267" w:type="dxa"/>
            <w:tcBorders>
              <w:top w:val="nil"/>
              <w:left w:val="nil"/>
              <w:bottom w:val="nil"/>
              <w:right w:val="nil"/>
            </w:tcBorders>
          </w:tcPr>
          <w:p w14:paraId="3F1175F4"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w:t>
            </w:r>
          </w:p>
        </w:tc>
      </w:tr>
      <w:tr w:rsidR="00F63659" w14:paraId="4C52482F" w14:textId="77777777" w:rsidTr="00CC7A1D">
        <w:tc>
          <w:tcPr>
            <w:tcW w:w="6411" w:type="dxa"/>
            <w:tcBorders>
              <w:top w:val="nil"/>
              <w:left w:val="nil"/>
              <w:bottom w:val="nil"/>
              <w:right w:val="nil"/>
            </w:tcBorders>
          </w:tcPr>
          <w:p w14:paraId="053ADB7B" w14:textId="77777777" w:rsidR="00F63659" w:rsidRDefault="00F63659" w:rsidP="00CC7A1D">
            <w:pPr>
              <w:widowControl w:val="0"/>
              <w:autoSpaceDE w:val="0"/>
              <w:adjustRightInd w:val="0"/>
              <w:spacing w:before="120" w:after="120" w:line="240" w:lineRule="auto"/>
              <w:jc w:val="right"/>
              <w:rPr>
                <w:rFonts w:ascii="Times New Roman" w:hAnsi="Times New Roman"/>
                <w:color w:val="0D0D0D"/>
                <w:kern w:val="2"/>
                <w:sz w:val="12"/>
                <w:szCs w:val="12"/>
                <w:lang w:val="en-US"/>
              </w:rPr>
            </w:pPr>
          </w:p>
        </w:tc>
        <w:tc>
          <w:tcPr>
            <w:tcW w:w="1356" w:type="dxa"/>
            <w:tcBorders>
              <w:top w:val="single" w:sz="4" w:space="0" w:color="auto"/>
              <w:left w:val="nil"/>
              <w:bottom w:val="single" w:sz="4" w:space="0" w:color="auto"/>
              <w:right w:val="nil"/>
            </w:tcBorders>
          </w:tcPr>
          <w:p w14:paraId="3E02A82B"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25,191</w:t>
            </w:r>
          </w:p>
        </w:tc>
        <w:tc>
          <w:tcPr>
            <w:tcW w:w="1267" w:type="dxa"/>
            <w:tcBorders>
              <w:top w:val="single" w:sz="4" w:space="0" w:color="auto"/>
              <w:left w:val="nil"/>
              <w:bottom w:val="single" w:sz="4" w:space="0" w:color="auto"/>
              <w:right w:val="nil"/>
            </w:tcBorders>
          </w:tcPr>
          <w:p w14:paraId="06FA5317"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r>
    </w:tbl>
    <w:p w14:paraId="0BA82113" w14:textId="77777777" w:rsidR="00F63659" w:rsidRDefault="00F63659" w:rsidP="00F63659">
      <w:pPr>
        <w:autoSpaceDE w:val="0"/>
        <w:adjustRightInd w:val="0"/>
        <w:spacing w:after="0" w:line="240" w:lineRule="auto"/>
        <w:rPr>
          <w:rFonts w:cs="Calibri"/>
          <w:kern w:val="2"/>
          <w:sz w:val="18"/>
          <w:szCs w:val="18"/>
          <w:lang w:val="en-US"/>
        </w:rPr>
      </w:pPr>
    </w:p>
    <w:p w14:paraId="4C097BE4" w14:textId="77777777" w:rsidR="00F63659" w:rsidRDefault="00F63659" w:rsidP="00F63659">
      <w:pPr>
        <w:widowControl w:val="0"/>
        <w:autoSpaceDE w:val="0"/>
        <w:adjustRightInd w:val="0"/>
        <w:spacing w:before="120" w:after="120" w:line="240" w:lineRule="auto"/>
        <w:ind w:left="426"/>
        <w:jc w:val="both"/>
        <w:rPr>
          <w:rFonts w:cs="Calibri"/>
          <w:kern w:val="2"/>
          <w:sz w:val="18"/>
          <w:szCs w:val="18"/>
          <w:lang w:val="en-US"/>
        </w:rPr>
      </w:pPr>
    </w:p>
    <w:p w14:paraId="22E2B731"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6.</w:t>
      </w:r>
      <w:r>
        <w:rPr>
          <w:rFonts w:cs="Calibri"/>
          <w:b/>
          <w:bCs/>
          <w:kern w:val="2"/>
          <w:sz w:val="18"/>
          <w:szCs w:val="18"/>
        </w:rPr>
        <w:tab/>
        <w:t>SHARE CAPITAL</w:t>
      </w:r>
    </w:p>
    <w:p w14:paraId="6E9A92B6"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3AFB4DFF" w14:textId="77777777" w:rsidR="00F63659" w:rsidRDefault="00F63659" w:rsidP="00F63659">
      <w:pPr>
        <w:widowControl w:val="0"/>
        <w:autoSpaceDE w:val="0"/>
        <w:adjustRightInd w:val="0"/>
        <w:spacing w:before="120" w:after="120" w:line="240" w:lineRule="auto"/>
        <w:ind w:left="426"/>
        <w:jc w:val="both"/>
        <w:rPr>
          <w:rFonts w:cs="Calibri"/>
          <w:b/>
          <w:bCs/>
          <w:kern w:val="2"/>
          <w:sz w:val="18"/>
          <w:szCs w:val="18"/>
        </w:rPr>
      </w:pPr>
      <w:r>
        <w:rPr>
          <w:rFonts w:cs="Calibri"/>
          <w:b/>
          <w:bCs/>
          <w:kern w:val="2"/>
          <w:sz w:val="18"/>
          <w:szCs w:val="18"/>
        </w:rPr>
        <w:t>Ordinary shares of £0.01 each</w:t>
      </w:r>
    </w:p>
    <w:tbl>
      <w:tblPr>
        <w:tblW w:w="0" w:type="auto"/>
        <w:tblInd w:w="426" w:type="dxa"/>
        <w:tblLayout w:type="fixed"/>
        <w:tblLook w:val="0000" w:firstRow="0" w:lastRow="0" w:firstColumn="0" w:lastColumn="0" w:noHBand="0" w:noVBand="0"/>
      </w:tblPr>
      <w:tblGrid>
        <w:gridCol w:w="6095"/>
        <w:gridCol w:w="1559"/>
        <w:gridCol w:w="1418"/>
      </w:tblGrid>
      <w:tr w:rsidR="00F63659" w14:paraId="2C5B6ED2" w14:textId="77777777" w:rsidTr="00CC7A1D">
        <w:trPr>
          <w:trHeight w:val="655"/>
        </w:trPr>
        <w:tc>
          <w:tcPr>
            <w:tcW w:w="6095" w:type="dxa"/>
            <w:tcBorders>
              <w:top w:val="nil"/>
              <w:left w:val="nil"/>
              <w:bottom w:val="nil"/>
              <w:right w:val="nil"/>
            </w:tcBorders>
          </w:tcPr>
          <w:p w14:paraId="55EC0F78"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p>
        </w:tc>
        <w:tc>
          <w:tcPr>
            <w:tcW w:w="1559" w:type="dxa"/>
            <w:tcBorders>
              <w:top w:val="nil"/>
              <w:left w:val="nil"/>
              <w:bottom w:val="nil"/>
              <w:right w:val="nil"/>
            </w:tcBorders>
          </w:tcPr>
          <w:p w14:paraId="5C1A54A5"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Number of shares</w:t>
            </w:r>
          </w:p>
        </w:tc>
        <w:tc>
          <w:tcPr>
            <w:tcW w:w="1418" w:type="dxa"/>
            <w:tcBorders>
              <w:top w:val="nil"/>
              <w:left w:val="nil"/>
              <w:bottom w:val="nil"/>
              <w:right w:val="nil"/>
            </w:tcBorders>
          </w:tcPr>
          <w:p w14:paraId="792E26EA"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Amount</w:t>
            </w:r>
          </w:p>
          <w:p w14:paraId="7A97CB33"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r>
      <w:tr w:rsidR="00F63659" w14:paraId="5139CA41" w14:textId="77777777" w:rsidTr="00CC7A1D">
        <w:tc>
          <w:tcPr>
            <w:tcW w:w="6095" w:type="dxa"/>
            <w:tcBorders>
              <w:top w:val="nil"/>
              <w:left w:val="nil"/>
              <w:bottom w:val="nil"/>
              <w:right w:val="nil"/>
            </w:tcBorders>
          </w:tcPr>
          <w:p w14:paraId="4AB73B8A"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Issued, called up and paid</w:t>
            </w:r>
          </w:p>
        </w:tc>
        <w:tc>
          <w:tcPr>
            <w:tcW w:w="1559" w:type="dxa"/>
            <w:tcBorders>
              <w:top w:val="nil"/>
              <w:left w:val="nil"/>
              <w:bottom w:val="nil"/>
              <w:right w:val="nil"/>
            </w:tcBorders>
          </w:tcPr>
          <w:p w14:paraId="72740162"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32,049,999</w:t>
            </w:r>
          </w:p>
        </w:tc>
        <w:tc>
          <w:tcPr>
            <w:tcW w:w="1418" w:type="dxa"/>
            <w:tcBorders>
              <w:top w:val="nil"/>
              <w:left w:val="nil"/>
              <w:bottom w:val="nil"/>
              <w:right w:val="nil"/>
            </w:tcBorders>
          </w:tcPr>
          <w:p w14:paraId="67660E27"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320,500</w:t>
            </w:r>
          </w:p>
        </w:tc>
      </w:tr>
      <w:tr w:rsidR="00F63659" w14:paraId="2812A38D" w14:textId="77777777" w:rsidTr="00CC7A1D">
        <w:trPr>
          <w:trHeight w:val="309"/>
        </w:trPr>
        <w:tc>
          <w:tcPr>
            <w:tcW w:w="6095" w:type="dxa"/>
            <w:tcBorders>
              <w:top w:val="nil"/>
              <w:left w:val="nil"/>
              <w:bottom w:val="nil"/>
              <w:right w:val="nil"/>
            </w:tcBorders>
          </w:tcPr>
          <w:p w14:paraId="31110285"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p>
        </w:tc>
        <w:tc>
          <w:tcPr>
            <w:tcW w:w="1559" w:type="dxa"/>
            <w:tcBorders>
              <w:top w:val="nil"/>
              <w:left w:val="nil"/>
              <w:bottom w:val="single" w:sz="4" w:space="0" w:color="auto"/>
              <w:right w:val="nil"/>
            </w:tcBorders>
          </w:tcPr>
          <w:p w14:paraId="749A7929"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418" w:type="dxa"/>
            <w:tcBorders>
              <w:top w:val="nil"/>
              <w:left w:val="nil"/>
              <w:bottom w:val="single" w:sz="4" w:space="0" w:color="auto"/>
              <w:right w:val="nil"/>
            </w:tcBorders>
          </w:tcPr>
          <w:p w14:paraId="652719B8"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r>
      <w:tr w:rsidR="00F63659" w14:paraId="72FCBA39" w14:textId="77777777" w:rsidTr="00CC7A1D">
        <w:tc>
          <w:tcPr>
            <w:tcW w:w="6095" w:type="dxa"/>
            <w:tcBorders>
              <w:top w:val="nil"/>
              <w:left w:val="nil"/>
              <w:bottom w:val="nil"/>
              <w:right w:val="nil"/>
            </w:tcBorders>
          </w:tcPr>
          <w:p w14:paraId="6E192DCA"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p>
        </w:tc>
        <w:tc>
          <w:tcPr>
            <w:tcW w:w="1559" w:type="dxa"/>
            <w:tcBorders>
              <w:top w:val="single" w:sz="4" w:space="0" w:color="auto"/>
              <w:left w:val="nil"/>
              <w:bottom w:val="single" w:sz="4" w:space="0" w:color="auto"/>
              <w:right w:val="nil"/>
            </w:tcBorders>
          </w:tcPr>
          <w:p w14:paraId="56FE88DB"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32,049,999</w:t>
            </w:r>
          </w:p>
        </w:tc>
        <w:tc>
          <w:tcPr>
            <w:tcW w:w="1418" w:type="dxa"/>
            <w:tcBorders>
              <w:top w:val="single" w:sz="4" w:space="0" w:color="auto"/>
              <w:left w:val="nil"/>
              <w:bottom w:val="single" w:sz="4" w:space="0" w:color="auto"/>
              <w:right w:val="nil"/>
            </w:tcBorders>
          </w:tcPr>
          <w:p w14:paraId="7DD517BD"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320,500</w:t>
            </w:r>
          </w:p>
        </w:tc>
      </w:tr>
    </w:tbl>
    <w:p w14:paraId="6481139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46DA786D"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464ADA3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 xml:space="preserve">On incorporation on 28 January 2013 and as at 31 January 2018, the Company had in issue 1 ordinary share of £1 par value. </w:t>
      </w:r>
    </w:p>
    <w:p w14:paraId="40A364E6"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5762A65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 xml:space="preserve">On 13 September 2018 the Company issued 95,999 shares of £1 par value at a price of £1 per share to various individual investors including 62,000 to Directors. On the same date, the Company subdivided its shares to a par value of £0.01. </w:t>
      </w:r>
    </w:p>
    <w:p w14:paraId="7E9543A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3F525AC1"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On 20 December 2018 the Company issued 4,950,000 ordinary shares of £0.01 par value to various individual investors. 4,700,000 were issued at £0.02 per share and 250,000 at £0.04 per share.</w:t>
      </w:r>
    </w:p>
    <w:p w14:paraId="5570715C"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55B9A8B1"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On 6 March 2020 the Company issued 17,333,333 ordinary shares of £0.01 par value to various individual investors at a price of £0.03 per share.</w:t>
      </w:r>
    </w:p>
    <w:p w14:paraId="4E897913"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0AF6A187"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On 7 January 2021 warrants for over 166,666 New Ordinary Shares at a price of £0.01 per share have been exercised at £0.04 per share. The aggregate gross proceeds of these exercises receivable by the Company amount to £6,667.</w:t>
      </w:r>
    </w:p>
    <w:p w14:paraId="329F606E"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27433221"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r>
        <w:rPr>
          <w:rFonts w:cs="Calibri"/>
          <w:kern w:val="2"/>
          <w:sz w:val="18"/>
          <w:szCs w:val="18"/>
        </w:rPr>
        <w:t>As at 31 January 2021, the Company had 32,049,999 ordinary shares of £0.01 par value in issue.</w:t>
      </w:r>
    </w:p>
    <w:p w14:paraId="57E6F17B"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51CADF30"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7.</w:t>
      </w:r>
      <w:r>
        <w:rPr>
          <w:rFonts w:cs="Calibri"/>
          <w:b/>
          <w:bCs/>
          <w:kern w:val="2"/>
          <w:sz w:val="18"/>
          <w:szCs w:val="18"/>
        </w:rPr>
        <w:tab/>
        <w:t>TRADE AND OTHER PAYABLES</w:t>
      </w:r>
    </w:p>
    <w:tbl>
      <w:tblPr>
        <w:tblW w:w="0" w:type="auto"/>
        <w:tblInd w:w="426" w:type="dxa"/>
        <w:tblLayout w:type="fixed"/>
        <w:tblLook w:val="0000" w:firstRow="0" w:lastRow="0" w:firstColumn="0" w:lastColumn="0" w:noHBand="0" w:noVBand="0"/>
      </w:tblPr>
      <w:tblGrid>
        <w:gridCol w:w="6411"/>
        <w:gridCol w:w="1356"/>
        <w:gridCol w:w="1267"/>
      </w:tblGrid>
      <w:tr w:rsidR="00F63659" w14:paraId="38CA36AA" w14:textId="77777777" w:rsidTr="00CC7A1D">
        <w:tc>
          <w:tcPr>
            <w:tcW w:w="6411" w:type="dxa"/>
            <w:tcBorders>
              <w:top w:val="nil"/>
              <w:left w:val="nil"/>
              <w:bottom w:val="nil"/>
              <w:right w:val="nil"/>
            </w:tcBorders>
          </w:tcPr>
          <w:p w14:paraId="6EE116AA"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p>
        </w:tc>
        <w:tc>
          <w:tcPr>
            <w:tcW w:w="1356" w:type="dxa"/>
            <w:tcBorders>
              <w:top w:val="nil"/>
              <w:left w:val="nil"/>
              <w:bottom w:val="nil"/>
              <w:right w:val="nil"/>
            </w:tcBorders>
          </w:tcPr>
          <w:p w14:paraId="4C2F7CFB"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2021</w:t>
            </w:r>
          </w:p>
          <w:p w14:paraId="54DA8186"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w:t>
            </w:r>
          </w:p>
        </w:tc>
        <w:tc>
          <w:tcPr>
            <w:tcW w:w="1267" w:type="dxa"/>
            <w:tcBorders>
              <w:top w:val="nil"/>
              <w:left w:val="nil"/>
              <w:bottom w:val="nil"/>
              <w:right w:val="nil"/>
            </w:tcBorders>
          </w:tcPr>
          <w:p w14:paraId="5DA7D170"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2020</w:t>
            </w:r>
          </w:p>
          <w:p w14:paraId="0A1A94C6"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w:t>
            </w:r>
          </w:p>
        </w:tc>
      </w:tr>
      <w:tr w:rsidR="00F63659" w14:paraId="5A12446F" w14:textId="77777777" w:rsidTr="00CC7A1D">
        <w:tc>
          <w:tcPr>
            <w:tcW w:w="6411" w:type="dxa"/>
            <w:tcBorders>
              <w:top w:val="nil"/>
              <w:left w:val="nil"/>
              <w:bottom w:val="nil"/>
              <w:right w:val="nil"/>
            </w:tcBorders>
          </w:tcPr>
          <w:p w14:paraId="409FDD37"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Trade payables</w:t>
            </w:r>
          </w:p>
        </w:tc>
        <w:tc>
          <w:tcPr>
            <w:tcW w:w="1356" w:type="dxa"/>
            <w:tcBorders>
              <w:top w:val="nil"/>
              <w:left w:val="nil"/>
              <w:bottom w:val="nil"/>
              <w:right w:val="nil"/>
            </w:tcBorders>
          </w:tcPr>
          <w:p w14:paraId="4FF66F6E"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16,714</w:t>
            </w:r>
          </w:p>
        </w:tc>
        <w:tc>
          <w:tcPr>
            <w:tcW w:w="1267" w:type="dxa"/>
            <w:tcBorders>
              <w:top w:val="nil"/>
              <w:left w:val="nil"/>
              <w:bottom w:val="nil"/>
              <w:right w:val="nil"/>
            </w:tcBorders>
          </w:tcPr>
          <w:p w14:paraId="3C1DB0BE"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23,268</w:t>
            </w:r>
          </w:p>
        </w:tc>
      </w:tr>
      <w:tr w:rsidR="00F63659" w14:paraId="0F757AE0" w14:textId="77777777" w:rsidTr="00CC7A1D">
        <w:tc>
          <w:tcPr>
            <w:tcW w:w="6411" w:type="dxa"/>
            <w:tcBorders>
              <w:top w:val="nil"/>
              <w:left w:val="nil"/>
              <w:bottom w:val="nil"/>
              <w:right w:val="nil"/>
            </w:tcBorders>
          </w:tcPr>
          <w:p w14:paraId="09D8473F" w14:textId="77777777" w:rsidR="00F63659" w:rsidRDefault="00F63659" w:rsidP="00CC7A1D">
            <w:pPr>
              <w:widowControl w:val="0"/>
              <w:autoSpaceDE w:val="0"/>
              <w:adjustRightInd w:val="0"/>
              <w:spacing w:before="120" w:after="120" w:line="240" w:lineRule="auto"/>
              <w:jc w:val="both"/>
              <w:rPr>
                <w:rFonts w:cs="Calibri"/>
                <w:color w:val="0D0D0D"/>
                <w:kern w:val="2"/>
                <w:sz w:val="18"/>
                <w:szCs w:val="18"/>
                <w:lang w:val="en-US"/>
              </w:rPr>
            </w:pPr>
            <w:r>
              <w:rPr>
                <w:rFonts w:cs="Calibri"/>
                <w:color w:val="0D0D0D"/>
                <w:kern w:val="2"/>
                <w:sz w:val="18"/>
                <w:szCs w:val="18"/>
                <w:lang w:val="en-US"/>
              </w:rPr>
              <w:t>Accruals</w:t>
            </w:r>
          </w:p>
        </w:tc>
        <w:tc>
          <w:tcPr>
            <w:tcW w:w="1356" w:type="dxa"/>
            <w:tcBorders>
              <w:top w:val="nil"/>
              <w:left w:val="nil"/>
              <w:bottom w:val="nil"/>
              <w:right w:val="nil"/>
            </w:tcBorders>
          </w:tcPr>
          <w:p w14:paraId="4931E519"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18,300</w:t>
            </w:r>
          </w:p>
        </w:tc>
        <w:tc>
          <w:tcPr>
            <w:tcW w:w="1267" w:type="dxa"/>
            <w:tcBorders>
              <w:top w:val="nil"/>
              <w:left w:val="nil"/>
              <w:bottom w:val="nil"/>
              <w:right w:val="nil"/>
            </w:tcBorders>
          </w:tcPr>
          <w:p w14:paraId="1A2EC62D" w14:textId="77777777" w:rsidR="00F63659" w:rsidRDefault="00F63659" w:rsidP="00CC7A1D">
            <w:pPr>
              <w:widowControl w:val="0"/>
              <w:autoSpaceDE w:val="0"/>
              <w:adjustRightInd w:val="0"/>
              <w:spacing w:after="120" w:line="240" w:lineRule="auto"/>
              <w:jc w:val="right"/>
              <w:rPr>
                <w:rFonts w:cs="Calibri"/>
                <w:color w:val="0D0D0D"/>
                <w:kern w:val="2"/>
                <w:sz w:val="18"/>
                <w:szCs w:val="18"/>
                <w:lang w:val="en-US"/>
              </w:rPr>
            </w:pPr>
            <w:r>
              <w:rPr>
                <w:rFonts w:cs="Calibri"/>
                <w:color w:val="0D0D0D"/>
                <w:kern w:val="2"/>
                <w:sz w:val="18"/>
                <w:szCs w:val="18"/>
                <w:lang w:val="en-US"/>
              </w:rPr>
              <w:t>15,000</w:t>
            </w:r>
          </w:p>
        </w:tc>
      </w:tr>
      <w:tr w:rsidR="00F63659" w14:paraId="7D65232A" w14:textId="77777777" w:rsidTr="00CC7A1D">
        <w:tc>
          <w:tcPr>
            <w:tcW w:w="6411" w:type="dxa"/>
            <w:tcBorders>
              <w:top w:val="nil"/>
              <w:left w:val="nil"/>
              <w:bottom w:val="nil"/>
              <w:right w:val="nil"/>
            </w:tcBorders>
          </w:tcPr>
          <w:p w14:paraId="28F7A4A4" w14:textId="77777777" w:rsidR="00F63659" w:rsidRDefault="00F63659" w:rsidP="00CC7A1D">
            <w:pPr>
              <w:widowControl w:val="0"/>
              <w:autoSpaceDE w:val="0"/>
              <w:adjustRightInd w:val="0"/>
              <w:spacing w:before="120" w:after="120" w:line="240" w:lineRule="auto"/>
              <w:jc w:val="right"/>
              <w:rPr>
                <w:rFonts w:ascii="Times New Roman" w:hAnsi="Times New Roman"/>
                <w:color w:val="0D0D0D"/>
                <w:kern w:val="2"/>
                <w:sz w:val="12"/>
                <w:szCs w:val="12"/>
                <w:lang w:val="en-US"/>
              </w:rPr>
            </w:pPr>
          </w:p>
        </w:tc>
        <w:tc>
          <w:tcPr>
            <w:tcW w:w="1356" w:type="dxa"/>
            <w:tcBorders>
              <w:top w:val="single" w:sz="4" w:space="0" w:color="auto"/>
              <w:left w:val="nil"/>
              <w:bottom w:val="single" w:sz="4" w:space="0" w:color="auto"/>
              <w:right w:val="nil"/>
            </w:tcBorders>
          </w:tcPr>
          <w:p w14:paraId="3F73E312"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35,014</w:t>
            </w:r>
          </w:p>
        </w:tc>
        <w:tc>
          <w:tcPr>
            <w:tcW w:w="1267" w:type="dxa"/>
            <w:tcBorders>
              <w:top w:val="single" w:sz="4" w:space="0" w:color="auto"/>
              <w:left w:val="nil"/>
              <w:bottom w:val="single" w:sz="4" w:space="0" w:color="auto"/>
              <w:right w:val="nil"/>
            </w:tcBorders>
          </w:tcPr>
          <w:p w14:paraId="5BDB0BEB"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38,268</w:t>
            </w:r>
          </w:p>
        </w:tc>
      </w:tr>
    </w:tbl>
    <w:p w14:paraId="2C02F892"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0906CBB0" w14:textId="77777777" w:rsidR="00F63659" w:rsidRDefault="00F63659" w:rsidP="00F63659">
      <w:pPr>
        <w:autoSpaceDE w:val="0"/>
        <w:adjustRightInd w:val="0"/>
        <w:spacing w:line="252" w:lineRule="auto"/>
        <w:ind w:left="426" w:hanging="360"/>
        <w:rPr>
          <w:rFonts w:cs="Calibri"/>
          <w:b/>
          <w:bCs/>
          <w:sz w:val="18"/>
          <w:szCs w:val="18"/>
          <w:lang w:val="en-MY"/>
        </w:rPr>
      </w:pPr>
      <w:r>
        <w:rPr>
          <w:rFonts w:cs="Calibri"/>
          <w:b/>
          <w:bCs/>
          <w:sz w:val="18"/>
          <w:szCs w:val="18"/>
          <w:lang w:val="en-MY"/>
        </w:rPr>
        <w:t>8.</w:t>
      </w:r>
      <w:r>
        <w:rPr>
          <w:rFonts w:cs="Calibri"/>
          <w:b/>
          <w:bCs/>
          <w:sz w:val="18"/>
          <w:szCs w:val="18"/>
          <w:lang w:val="en-MY"/>
        </w:rPr>
        <w:tab/>
        <w:t>BORROWINGS</w:t>
      </w:r>
    </w:p>
    <w:p w14:paraId="64C0DFD3" w14:textId="77777777" w:rsidR="00F63659" w:rsidRDefault="00F63659" w:rsidP="00F63659">
      <w:pPr>
        <w:autoSpaceDE w:val="0"/>
        <w:adjustRightInd w:val="0"/>
        <w:spacing w:line="252" w:lineRule="auto"/>
        <w:ind w:left="426"/>
        <w:rPr>
          <w:rFonts w:cs="Calibri"/>
          <w:sz w:val="18"/>
          <w:szCs w:val="18"/>
          <w:lang w:val="en-MY"/>
        </w:rPr>
      </w:pPr>
      <w:r>
        <w:rPr>
          <w:rFonts w:cs="Calibri"/>
          <w:sz w:val="18"/>
          <w:szCs w:val="18"/>
          <w:lang w:val="en-MY"/>
        </w:rPr>
        <w:t xml:space="preserve">On 23 September 2020 the Company entered into a loan agreement in the amount of £10,469. The loan payable is non-interest bearing and repayable in whole on demand. </w:t>
      </w:r>
    </w:p>
    <w:p w14:paraId="56578707" w14:textId="77777777" w:rsidR="00F63659" w:rsidRDefault="00F63659" w:rsidP="00F63659">
      <w:pPr>
        <w:widowControl w:val="0"/>
        <w:tabs>
          <w:tab w:val="left" w:pos="567"/>
        </w:tabs>
        <w:autoSpaceDE w:val="0"/>
        <w:adjustRightInd w:val="0"/>
        <w:spacing w:after="0" w:line="240" w:lineRule="auto"/>
        <w:ind w:left="426" w:hanging="360"/>
        <w:jc w:val="both"/>
        <w:rPr>
          <w:rFonts w:cs="Calibri"/>
          <w:b/>
          <w:bCs/>
          <w:color w:val="000000"/>
          <w:kern w:val="2"/>
          <w:sz w:val="18"/>
          <w:szCs w:val="18"/>
        </w:rPr>
      </w:pPr>
      <w:r>
        <w:rPr>
          <w:rFonts w:cs="Calibri"/>
          <w:b/>
          <w:bCs/>
          <w:color w:val="000000"/>
          <w:kern w:val="2"/>
          <w:sz w:val="18"/>
          <w:szCs w:val="18"/>
        </w:rPr>
        <w:t>9.</w:t>
      </w:r>
      <w:r>
        <w:rPr>
          <w:rFonts w:cs="Calibri"/>
          <w:b/>
          <w:bCs/>
          <w:color w:val="000000"/>
          <w:kern w:val="2"/>
          <w:sz w:val="18"/>
          <w:szCs w:val="18"/>
        </w:rPr>
        <w:tab/>
        <w:t xml:space="preserve">DIRECTORS’ EMOLUMENTS </w:t>
      </w:r>
    </w:p>
    <w:p w14:paraId="76E40E87" w14:textId="77777777" w:rsidR="00F63659" w:rsidRDefault="00F63659" w:rsidP="00F63659">
      <w:pPr>
        <w:widowControl w:val="0"/>
        <w:autoSpaceDE w:val="0"/>
        <w:adjustRightInd w:val="0"/>
        <w:spacing w:before="120" w:after="0" w:line="240" w:lineRule="auto"/>
        <w:ind w:left="426"/>
        <w:jc w:val="both"/>
        <w:rPr>
          <w:rFonts w:cs="Calibri"/>
          <w:b/>
          <w:bCs/>
          <w:color w:val="000000"/>
          <w:kern w:val="2"/>
          <w:sz w:val="18"/>
          <w:szCs w:val="18"/>
        </w:rPr>
      </w:pPr>
      <w:r>
        <w:rPr>
          <w:rFonts w:cs="Calibri"/>
          <w:kern w:val="2"/>
          <w:sz w:val="18"/>
          <w:szCs w:val="18"/>
        </w:rPr>
        <w:t xml:space="preserve">No amount was paid or become payable to any of the Directors of the Company and there were no staff costs as no staff was employed by the Company during the period ended 31 January 2021 (2020: £nil). </w:t>
      </w:r>
    </w:p>
    <w:p w14:paraId="260E3BF8" w14:textId="77777777" w:rsidR="00F63659" w:rsidRDefault="00F63659" w:rsidP="00F63659">
      <w:pPr>
        <w:widowControl w:val="0"/>
        <w:tabs>
          <w:tab w:val="left" w:pos="567"/>
        </w:tabs>
        <w:autoSpaceDE w:val="0"/>
        <w:adjustRightInd w:val="0"/>
        <w:spacing w:after="0" w:line="240" w:lineRule="auto"/>
        <w:ind w:left="426"/>
        <w:jc w:val="both"/>
        <w:rPr>
          <w:rFonts w:cs="Calibri"/>
          <w:b/>
          <w:bCs/>
          <w:color w:val="000000"/>
          <w:kern w:val="2"/>
          <w:sz w:val="18"/>
          <w:szCs w:val="18"/>
        </w:rPr>
      </w:pPr>
    </w:p>
    <w:p w14:paraId="0B1F545E" w14:textId="77777777" w:rsidR="00F63659" w:rsidRDefault="00F63659" w:rsidP="00F63659">
      <w:pPr>
        <w:widowControl w:val="0"/>
        <w:tabs>
          <w:tab w:val="left" w:pos="567"/>
        </w:tabs>
        <w:autoSpaceDE w:val="0"/>
        <w:adjustRightInd w:val="0"/>
        <w:spacing w:after="0" w:line="240" w:lineRule="auto"/>
        <w:ind w:left="426" w:hanging="360"/>
        <w:jc w:val="both"/>
        <w:rPr>
          <w:rFonts w:cs="Calibri"/>
          <w:b/>
          <w:bCs/>
          <w:color w:val="000000"/>
          <w:kern w:val="2"/>
          <w:sz w:val="18"/>
          <w:szCs w:val="18"/>
        </w:rPr>
      </w:pPr>
      <w:r>
        <w:rPr>
          <w:rFonts w:cs="Calibri"/>
          <w:b/>
          <w:bCs/>
          <w:color w:val="000000"/>
          <w:kern w:val="2"/>
          <w:sz w:val="18"/>
          <w:szCs w:val="18"/>
        </w:rPr>
        <w:t>10.</w:t>
      </w:r>
      <w:r>
        <w:rPr>
          <w:rFonts w:cs="Calibri"/>
          <w:b/>
          <w:bCs/>
          <w:color w:val="000000"/>
          <w:kern w:val="2"/>
          <w:sz w:val="18"/>
          <w:szCs w:val="18"/>
        </w:rPr>
        <w:tab/>
        <w:t>FINANCIAL RISK MANAGEMENT</w:t>
      </w:r>
    </w:p>
    <w:p w14:paraId="4BF44143" w14:textId="77777777" w:rsidR="00F63659" w:rsidRDefault="00F63659" w:rsidP="00F63659">
      <w:pPr>
        <w:widowControl w:val="0"/>
        <w:autoSpaceDE w:val="0"/>
        <w:adjustRightInd w:val="0"/>
        <w:spacing w:before="120" w:after="0" w:line="240" w:lineRule="auto"/>
        <w:ind w:left="426"/>
        <w:jc w:val="both"/>
        <w:rPr>
          <w:rFonts w:ascii="Times New Roman" w:hAnsi="Times New Roman"/>
          <w:kern w:val="2"/>
          <w:sz w:val="20"/>
          <w:szCs w:val="20"/>
        </w:rPr>
      </w:pPr>
      <w:r>
        <w:rPr>
          <w:rFonts w:cs="Calibri"/>
          <w:kern w:val="2"/>
          <w:sz w:val="18"/>
          <w:szCs w:val="18"/>
        </w:rPr>
        <w:t>The Company uses a limited number of financial instruments, comprising cash and various items such as trade payables, which arise directly from operations. The Company does not trade in financial instruments.</w:t>
      </w:r>
    </w:p>
    <w:p w14:paraId="74787A22" w14:textId="77777777" w:rsidR="00F63659" w:rsidRDefault="00F63659" w:rsidP="00F63659">
      <w:pPr>
        <w:widowControl w:val="0"/>
        <w:autoSpaceDE w:val="0"/>
        <w:adjustRightInd w:val="0"/>
        <w:spacing w:before="120" w:after="0" w:line="240" w:lineRule="auto"/>
        <w:ind w:left="426"/>
        <w:jc w:val="both"/>
        <w:rPr>
          <w:rFonts w:cs="Calibri"/>
          <w:b/>
          <w:bCs/>
          <w:color w:val="000000"/>
          <w:kern w:val="2"/>
          <w:sz w:val="18"/>
          <w:szCs w:val="18"/>
        </w:rPr>
      </w:pPr>
      <w:r>
        <w:rPr>
          <w:rFonts w:cs="Calibri"/>
          <w:b/>
          <w:bCs/>
          <w:color w:val="000000"/>
          <w:kern w:val="2"/>
          <w:sz w:val="18"/>
          <w:szCs w:val="18"/>
        </w:rPr>
        <w:t>Financial risk factors</w:t>
      </w:r>
    </w:p>
    <w:p w14:paraId="4CF25F8A"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 xml:space="preserve">The Company’s activities expose it to a variety of financial risks: credit risk and liquidity risk. The Company’s overall risk management programme focuses on the unpredictability of financial markets and seeks to minimise potential adverse effects on the Company’s financial performance. </w:t>
      </w:r>
    </w:p>
    <w:p w14:paraId="09480E46" w14:textId="77777777" w:rsidR="00F63659" w:rsidRDefault="00F63659" w:rsidP="00F63659">
      <w:pPr>
        <w:widowControl w:val="0"/>
        <w:autoSpaceDE w:val="0"/>
        <w:adjustRightInd w:val="0"/>
        <w:spacing w:before="120" w:after="0" w:line="240" w:lineRule="auto"/>
        <w:ind w:left="426"/>
        <w:jc w:val="both"/>
        <w:rPr>
          <w:rFonts w:cs="Calibri"/>
          <w:b/>
          <w:bCs/>
          <w:color w:val="000000"/>
          <w:kern w:val="2"/>
          <w:sz w:val="18"/>
          <w:szCs w:val="18"/>
        </w:rPr>
      </w:pPr>
      <w:r>
        <w:rPr>
          <w:rFonts w:cs="Calibri"/>
          <w:b/>
          <w:bCs/>
          <w:color w:val="000000"/>
          <w:kern w:val="2"/>
          <w:sz w:val="18"/>
          <w:szCs w:val="18"/>
        </w:rPr>
        <w:t>a) Credit risk</w:t>
      </w:r>
    </w:p>
    <w:p w14:paraId="2C583E71"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Credit risk is the risk of an unexpected loss if a counter party to a financial instrument fails to meet its commercial obligations. The Company’s maximum credit risk exposure is limited to the carrying amount of cash of £363,652. Funds are deposited with financial institutions with a credit rating equivalent to, or above, the main UK clearing banks.</w:t>
      </w:r>
    </w:p>
    <w:p w14:paraId="50603291" w14:textId="77777777" w:rsidR="00F63659" w:rsidRDefault="00F63659" w:rsidP="00F63659">
      <w:pPr>
        <w:widowControl w:val="0"/>
        <w:autoSpaceDE w:val="0"/>
        <w:adjustRightInd w:val="0"/>
        <w:spacing w:before="120" w:after="0" w:line="240" w:lineRule="auto"/>
        <w:ind w:firstLine="426"/>
        <w:jc w:val="both"/>
        <w:rPr>
          <w:rFonts w:cs="Calibri"/>
          <w:b/>
          <w:bCs/>
          <w:color w:val="000000"/>
          <w:kern w:val="2"/>
          <w:sz w:val="18"/>
          <w:szCs w:val="18"/>
        </w:rPr>
      </w:pPr>
      <w:r>
        <w:rPr>
          <w:rFonts w:cs="Calibri"/>
          <w:b/>
          <w:bCs/>
          <w:color w:val="000000"/>
          <w:kern w:val="2"/>
          <w:sz w:val="18"/>
          <w:szCs w:val="18"/>
        </w:rPr>
        <w:t>b) Liquidity risk</w:t>
      </w:r>
    </w:p>
    <w:p w14:paraId="1580C363"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lastRenderedPageBreak/>
        <w:t>Prudent liquidity risk management implies maintaining sufficient cash, the Company ensures it has adequate resource to discharge all its liabilities. The directors have considered the liquidity risk as part of their going concern assessment. (See note 2).</w:t>
      </w:r>
    </w:p>
    <w:p w14:paraId="07D47739" w14:textId="77777777" w:rsidR="00F63659" w:rsidRDefault="00F63659" w:rsidP="00F63659">
      <w:pPr>
        <w:widowControl w:val="0"/>
        <w:autoSpaceDE w:val="0"/>
        <w:adjustRightInd w:val="0"/>
        <w:spacing w:before="120" w:after="0" w:line="240" w:lineRule="auto"/>
        <w:ind w:left="426"/>
        <w:jc w:val="both"/>
        <w:rPr>
          <w:rFonts w:cs="Calibri"/>
          <w:b/>
          <w:bCs/>
          <w:color w:val="000000"/>
          <w:kern w:val="2"/>
          <w:sz w:val="18"/>
          <w:szCs w:val="18"/>
        </w:rPr>
      </w:pPr>
      <w:r>
        <w:rPr>
          <w:rFonts w:cs="Calibri"/>
          <w:b/>
          <w:bCs/>
          <w:color w:val="000000"/>
          <w:kern w:val="2"/>
          <w:sz w:val="18"/>
          <w:szCs w:val="18"/>
        </w:rPr>
        <w:t>Fair values</w:t>
      </w:r>
    </w:p>
    <w:p w14:paraId="7CEE7967"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 xml:space="preserve">Management assessed that the fair values of cash trade payables and other current liabilities approximate their carrying amounts largely due to the short-term maturities of these instruments. </w:t>
      </w:r>
    </w:p>
    <w:p w14:paraId="63B4715B" w14:textId="77777777" w:rsidR="00F63659" w:rsidRDefault="00F63659" w:rsidP="00F63659">
      <w:pPr>
        <w:widowControl w:val="0"/>
        <w:autoSpaceDE w:val="0"/>
        <w:adjustRightInd w:val="0"/>
        <w:spacing w:before="120" w:after="0" w:line="240" w:lineRule="auto"/>
        <w:ind w:left="540"/>
        <w:jc w:val="both"/>
        <w:rPr>
          <w:rFonts w:ascii="Times New Roman" w:hAnsi="Times New Roman"/>
          <w:kern w:val="2"/>
          <w:sz w:val="20"/>
          <w:szCs w:val="20"/>
          <w:lang w:val="en-CA"/>
        </w:rPr>
      </w:pPr>
    </w:p>
    <w:p w14:paraId="1C6DA387" w14:textId="77777777" w:rsidR="00F63659" w:rsidRDefault="00F63659" w:rsidP="00F63659">
      <w:pPr>
        <w:widowControl w:val="0"/>
        <w:tabs>
          <w:tab w:val="left" w:pos="567"/>
        </w:tabs>
        <w:autoSpaceDE w:val="0"/>
        <w:adjustRightInd w:val="0"/>
        <w:spacing w:after="0" w:line="240" w:lineRule="auto"/>
        <w:ind w:left="426" w:hanging="360"/>
        <w:jc w:val="both"/>
        <w:rPr>
          <w:rFonts w:cs="Calibri"/>
          <w:b/>
          <w:bCs/>
          <w:color w:val="000000"/>
          <w:kern w:val="2"/>
          <w:sz w:val="18"/>
          <w:szCs w:val="18"/>
        </w:rPr>
      </w:pPr>
      <w:r>
        <w:rPr>
          <w:rFonts w:cs="Calibri"/>
          <w:b/>
          <w:bCs/>
          <w:color w:val="000000"/>
          <w:kern w:val="2"/>
          <w:sz w:val="18"/>
          <w:szCs w:val="18"/>
        </w:rPr>
        <w:t>11.</w:t>
      </w:r>
      <w:r>
        <w:rPr>
          <w:rFonts w:cs="Calibri"/>
          <w:b/>
          <w:bCs/>
          <w:color w:val="000000"/>
          <w:kern w:val="2"/>
          <w:sz w:val="18"/>
          <w:szCs w:val="18"/>
        </w:rPr>
        <w:tab/>
        <w:t xml:space="preserve">CAPITAL MANAGEMENT POLICY </w:t>
      </w:r>
    </w:p>
    <w:p w14:paraId="35272200"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The Company's objectives when managing capital are to safeguard the Company's ability to continue as a going concern in order to provide returns for shareholders and benefits for other stakeholders and to maintain an optimal capital structure to reduce the cost of capital. The capital structure of the Company consists of equity attributable to equity holders of the Company, comprising issued share capital and reserves.</w:t>
      </w:r>
    </w:p>
    <w:p w14:paraId="39501711" w14:textId="77777777" w:rsidR="00F63659" w:rsidRDefault="00F63659" w:rsidP="00F63659">
      <w:pPr>
        <w:widowControl w:val="0"/>
        <w:tabs>
          <w:tab w:val="left" w:pos="567"/>
        </w:tabs>
        <w:autoSpaceDE w:val="0"/>
        <w:adjustRightInd w:val="0"/>
        <w:spacing w:after="0" w:line="240" w:lineRule="auto"/>
        <w:ind w:left="426"/>
        <w:jc w:val="both"/>
        <w:rPr>
          <w:rFonts w:cs="Calibri"/>
          <w:b/>
          <w:bCs/>
          <w:color w:val="000000"/>
          <w:kern w:val="2"/>
          <w:sz w:val="18"/>
          <w:szCs w:val="18"/>
        </w:rPr>
      </w:pPr>
    </w:p>
    <w:p w14:paraId="5091C270" w14:textId="77777777" w:rsidR="00F63659" w:rsidRDefault="00F63659" w:rsidP="00F63659">
      <w:pPr>
        <w:widowControl w:val="0"/>
        <w:tabs>
          <w:tab w:val="left" w:pos="567"/>
        </w:tabs>
        <w:autoSpaceDE w:val="0"/>
        <w:adjustRightInd w:val="0"/>
        <w:spacing w:after="0" w:line="240" w:lineRule="auto"/>
        <w:ind w:left="720" w:hanging="360"/>
        <w:jc w:val="both"/>
        <w:rPr>
          <w:rFonts w:cs="Calibri"/>
          <w:b/>
          <w:bCs/>
          <w:color w:val="000000"/>
          <w:kern w:val="2"/>
          <w:sz w:val="18"/>
          <w:szCs w:val="18"/>
        </w:rPr>
      </w:pPr>
      <w:r>
        <w:rPr>
          <w:rFonts w:cs="Calibri"/>
          <w:b/>
          <w:bCs/>
          <w:color w:val="000000"/>
          <w:kern w:val="2"/>
          <w:sz w:val="18"/>
          <w:szCs w:val="18"/>
        </w:rPr>
        <w:t>12.</w:t>
      </w:r>
      <w:r>
        <w:rPr>
          <w:rFonts w:cs="Calibri"/>
          <w:b/>
          <w:bCs/>
          <w:color w:val="000000"/>
          <w:kern w:val="2"/>
          <w:sz w:val="18"/>
          <w:szCs w:val="18"/>
        </w:rPr>
        <w:tab/>
        <w:t>FINANCIAL INSTRUMENTS</w:t>
      </w:r>
    </w:p>
    <w:p w14:paraId="02DD25AC"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The Company’s principal financial instruments comprise cash and cash equivalents and other payable. The Company’s accounting policies and method adopted, including the criteria for recognition, the basis on which income and expenses are recognised in respect of each class of financial assets, financial liability and equity instrument are set out in Note 2. The Company do not use financial instruments for speculative purposes.</w:t>
      </w:r>
    </w:p>
    <w:p w14:paraId="78FAE8EF" w14:textId="77777777" w:rsidR="00F63659" w:rsidRDefault="00F63659" w:rsidP="00F63659">
      <w:pPr>
        <w:widowControl w:val="0"/>
        <w:autoSpaceDE w:val="0"/>
        <w:adjustRightInd w:val="0"/>
        <w:spacing w:before="120" w:after="0" w:line="240" w:lineRule="auto"/>
        <w:ind w:left="426"/>
        <w:jc w:val="both"/>
        <w:rPr>
          <w:rFonts w:cs="Calibri"/>
          <w:kern w:val="2"/>
          <w:sz w:val="18"/>
          <w:szCs w:val="18"/>
        </w:rPr>
      </w:pPr>
      <w:r>
        <w:rPr>
          <w:rFonts w:cs="Calibri"/>
          <w:kern w:val="2"/>
          <w:sz w:val="18"/>
          <w:szCs w:val="18"/>
        </w:rPr>
        <w:t>The principal financial instruments used by the Company, from which financial instrument risk arises, are as follows:</w:t>
      </w:r>
    </w:p>
    <w:p w14:paraId="4CC71488" w14:textId="77777777" w:rsidR="00F63659" w:rsidRDefault="00F63659" w:rsidP="00F63659">
      <w:pPr>
        <w:widowControl w:val="0"/>
        <w:autoSpaceDE w:val="0"/>
        <w:adjustRightInd w:val="0"/>
        <w:spacing w:before="120" w:after="0" w:line="240" w:lineRule="auto"/>
        <w:ind w:left="426"/>
        <w:jc w:val="both"/>
        <w:rPr>
          <w:rFonts w:ascii="Times New Roman" w:hAnsi="Times New Roman"/>
          <w:kern w:val="2"/>
          <w:sz w:val="20"/>
          <w:szCs w:val="20"/>
        </w:rPr>
      </w:pPr>
    </w:p>
    <w:tbl>
      <w:tblPr>
        <w:tblW w:w="0" w:type="auto"/>
        <w:tblInd w:w="426" w:type="dxa"/>
        <w:tblLayout w:type="fixed"/>
        <w:tblLook w:val="0000" w:firstRow="0" w:lastRow="0" w:firstColumn="0" w:lastColumn="0" w:noHBand="0" w:noVBand="0"/>
      </w:tblPr>
      <w:tblGrid>
        <w:gridCol w:w="5919"/>
        <w:gridCol w:w="318"/>
        <w:gridCol w:w="1333"/>
        <w:gridCol w:w="1076"/>
      </w:tblGrid>
      <w:tr w:rsidR="00F63659" w14:paraId="3BB44C03" w14:textId="77777777" w:rsidTr="00CC7A1D">
        <w:tc>
          <w:tcPr>
            <w:tcW w:w="5919" w:type="dxa"/>
            <w:tcBorders>
              <w:top w:val="nil"/>
              <w:left w:val="nil"/>
              <w:bottom w:val="nil"/>
              <w:right w:val="nil"/>
            </w:tcBorders>
          </w:tcPr>
          <w:p w14:paraId="0C6B91FB" w14:textId="77777777" w:rsidR="00F63659" w:rsidRDefault="00F63659" w:rsidP="00CC7A1D">
            <w:pPr>
              <w:widowControl w:val="0"/>
              <w:autoSpaceDE w:val="0"/>
              <w:adjustRightInd w:val="0"/>
              <w:spacing w:before="120" w:after="120" w:line="240" w:lineRule="auto"/>
              <w:jc w:val="center"/>
              <w:rPr>
                <w:rFonts w:ascii="Times New Roman" w:hAnsi="Times New Roman"/>
                <w:b/>
                <w:bCs/>
                <w:color w:val="000000"/>
                <w:kern w:val="2"/>
                <w:sz w:val="12"/>
                <w:szCs w:val="12"/>
                <w:lang w:val="en-US"/>
              </w:rPr>
            </w:pPr>
          </w:p>
        </w:tc>
        <w:tc>
          <w:tcPr>
            <w:tcW w:w="318" w:type="dxa"/>
            <w:tcBorders>
              <w:top w:val="nil"/>
              <w:left w:val="nil"/>
              <w:bottom w:val="nil"/>
              <w:right w:val="nil"/>
            </w:tcBorders>
          </w:tcPr>
          <w:p w14:paraId="15CC053B" w14:textId="77777777" w:rsidR="00F63659" w:rsidRDefault="00F63659" w:rsidP="00CC7A1D">
            <w:pPr>
              <w:widowControl w:val="0"/>
              <w:autoSpaceDE w:val="0"/>
              <w:adjustRightInd w:val="0"/>
              <w:spacing w:before="120" w:after="120" w:line="240" w:lineRule="auto"/>
              <w:jc w:val="right"/>
              <w:rPr>
                <w:rFonts w:ascii="Times New Roman" w:hAnsi="Times New Roman"/>
                <w:b/>
                <w:bCs/>
                <w:color w:val="000000"/>
                <w:kern w:val="2"/>
                <w:sz w:val="12"/>
                <w:szCs w:val="12"/>
                <w:lang w:val="en-US"/>
              </w:rPr>
            </w:pPr>
          </w:p>
        </w:tc>
        <w:tc>
          <w:tcPr>
            <w:tcW w:w="1333" w:type="dxa"/>
            <w:tcBorders>
              <w:top w:val="nil"/>
              <w:left w:val="nil"/>
              <w:bottom w:val="nil"/>
              <w:right w:val="nil"/>
            </w:tcBorders>
          </w:tcPr>
          <w:p w14:paraId="4EF16101"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2021</w:t>
            </w:r>
          </w:p>
          <w:p w14:paraId="1D234286"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c>
          <w:tcPr>
            <w:tcW w:w="1076" w:type="dxa"/>
            <w:tcBorders>
              <w:top w:val="nil"/>
              <w:left w:val="nil"/>
              <w:bottom w:val="nil"/>
              <w:right w:val="nil"/>
            </w:tcBorders>
          </w:tcPr>
          <w:p w14:paraId="6CBBDC61"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2020</w:t>
            </w:r>
          </w:p>
          <w:p w14:paraId="7E025CF0"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w:t>
            </w:r>
          </w:p>
        </w:tc>
      </w:tr>
      <w:tr w:rsidR="00F63659" w14:paraId="5850B524" w14:textId="77777777" w:rsidTr="00CC7A1D">
        <w:tc>
          <w:tcPr>
            <w:tcW w:w="5919" w:type="dxa"/>
            <w:tcBorders>
              <w:top w:val="nil"/>
              <w:left w:val="nil"/>
              <w:bottom w:val="nil"/>
              <w:right w:val="nil"/>
            </w:tcBorders>
          </w:tcPr>
          <w:p w14:paraId="0ED4ED6E" w14:textId="77777777" w:rsidR="00F63659" w:rsidRDefault="00F63659" w:rsidP="00CC7A1D">
            <w:pPr>
              <w:widowControl w:val="0"/>
              <w:autoSpaceDE w:val="0"/>
              <w:adjustRightInd w:val="0"/>
              <w:spacing w:before="120" w:after="120" w:line="240" w:lineRule="auto"/>
              <w:jc w:val="both"/>
              <w:rPr>
                <w:rFonts w:cs="Calibri"/>
                <w:b/>
                <w:bCs/>
                <w:color w:val="0D0D0D"/>
                <w:kern w:val="2"/>
                <w:sz w:val="18"/>
                <w:szCs w:val="18"/>
                <w:lang w:val="en-US"/>
              </w:rPr>
            </w:pPr>
            <w:r>
              <w:rPr>
                <w:rFonts w:cs="Calibri"/>
                <w:b/>
                <w:bCs/>
                <w:color w:val="0D0D0D"/>
                <w:kern w:val="2"/>
                <w:sz w:val="18"/>
                <w:szCs w:val="18"/>
                <w:lang w:val="en-US"/>
              </w:rPr>
              <w:t>Financial assets</w:t>
            </w:r>
          </w:p>
        </w:tc>
        <w:tc>
          <w:tcPr>
            <w:tcW w:w="318" w:type="dxa"/>
            <w:tcBorders>
              <w:top w:val="nil"/>
              <w:left w:val="nil"/>
              <w:bottom w:val="nil"/>
              <w:right w:val="nil"/>
            </w:tcBorders>
            <w:vAlign w:val="bottom"/>
          </w:tcPr>
          <w:p w14:paraId="19A53C60"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333" w:type="dxa"/>
            <w:tcBorders>
              <w:top w:val="nil"/>
              <w:left w:val="nil"/>
              <w:bottom w:val="nil"/>
              <w:right w:val="nil"/>
            </w:tcBorders>
            <w:vAlign w:val="bottom"/>
          </w:tcPr>
          <w:p w14:paraId="7309F72E"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076" w:type="dxa"/>
            <w:tcBorders>
              <w:top w:val="nil"/>
              <w:left w:val="nil"/>
              <w:bottom w:val="nil"/>
              <w:right w:val="nil"/>
            </w:tcBorders>
            <w:vAlign w:val="bottom"/>
          </w:tcPr>
          <w:p w14:paraId="605C846A"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r>
      <w:tr w:rsidR="00F63659" w14:paraId="709F4D7C" w14:textId="77777777" w:rsidTr="00CC7A1D">
        <w:tc>
          <w:tcPr>
            <w:tcW w:w="5919" w:type="dxa"/>
            <w:tcBorders>
              <w:top w:val="nil"/>
              <w:left w:val="nil"/>
              <w:bottom w:val="nil"/>
              <w:right w:val="nil"/>
            </w:tcBorders>
          </w:tcPr>
          <w:p w14:paraId="2B420FBB" w14:textId="77777777" w:rsidR="00F63659" w:rsidRDefault="00F63659" w:rsidP="00CC7A1D">
            <w:pPr>
              <w:widowControl w:val="0"/>
              <w:autoSpaceDE w:val="0"/>
              <w:adjustRightInd w:val="0"/>
              <w:spacing w:before="120" w:after="120" w:line="240" w:lineRule="auto"/>
              <w:ind w:left="176"/>
              <w:jc w:val="both"/>
              <w:rPr>
                <w:rFonts w:cs="Calibri"/>
                <w:color w:val="0D0D0D"/>
                <w:kern w:val="2"/>
                <w:sz w:val="18"/>
                <w:szCs w:val="18"/>
                <w:lang w:val="en-US"/>
              </w:rPr>
            </w:pPr>
            <w:r>
              <w:rPr>
                <w:rFonts w:cs="Calibri"/>
                <w:color w:val="0D0D0D"/>
                <w:kern w:val="2"/>
                <w:sz w:val="18"/>
                <w:szCs w:val="18"/>
                <w:lang w:val="en-US"/>
              </w:rPr>
              <w:t>Cash and cash equivalents</w:t>
            </w:r>
          </w:p>
        </w:tc>
        <w:tc>
          <w:tcPr>
            <w:tcW w:w="318" w:type="dxa"/>
            <w:tcBorders>
              <w:top w:val="nil"/>
              <w:left w:val="nil"/>
              <w:bottom w:val="nil"/>
              <w:right w:val="nil"/>
            </w:tcBorders>
            <w:vAlign w:val="bottom"/>
          </w:tcPr>
          <w:p w14:paraId="206230C2"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333" w:type="dxa"/>
            <w:tcBorders>
              <w:top w:val="nil"/>
              <w:left w:val="nil"/>
              <w:bottom w:val="nil"/>
              <w:right w:val="nil"/>
            </w:tcBorders>
            <w:vAlign w:val="bottom"/>
          </w:tcPr>
          <w:p w14:paraId="71F54250"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363,652</w:t>
            </w:r>
          </w:p>
        </w:tc>
        <w:tc>
          <w:tcPr>
            <w:tcW w:w="1076" w:type="dxa"/>
            <w:tcBorders>
              <w:top w:val="nil"/>
              <w:left w:val="nil"/>
              <w:bottom w:val="nil"/>
              <w:right w:val="nil"/>
            </w:tcBorders>
            <w:vAlign w:val="bottom"/>
          </w:tcPr>
          <w:p w14:paraId="68FDEDF9"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62,573</w:t>
            </w:r>
          </w:p>
        </w:tc>
      </w:tr>
      <w:tr w:rsidR="00F63659" w14:paraId="1CCD3E0C" w14:textId="77777777" w:rsidTr="00CC7A1D">
        <w:trPr>
          <w:trHeight w:val="80"/>
        </w:trPr>
        <w:tc>
          <w:tcPr>
            <w:tcW w:w="5919" w:type="dxa"/>
            <w:tcBorders>
              <w:top w:val="nil"/>
              <w:left w:val="nil"/>
              <w:bottom w:val="nil"/>
              <w:right w:val="nil"/>
            </w:tcBorders>
          </w:tcPr>
          <w:p w14:paraId="2A6C7AB2" w14:textId="77777777" w:rsidR="00F63659" w:rsidRDefault="00F63659" w:rsidP="00CC7A1D">
            <w:pPr>
              <w:widowControl w:val="0"/>
              <w:autoSpaceDE w:val="0"/>
              <w:adjustRightInd w:val="0"/>
              <w:spacing w:before="120" w:after="120" w:line="240" w:lineRule="auto"/>
              <w:jc w:val="both"/>
              <w:rPr>
                <w:rFonts w:cs="Calibri"/>
                <w:b/>
                <w:bCs/>
                <w:color w:val="0D0D0D"/>
                <w:kern w:val="2"/>
                <w:sz w:val="18"/>
                <w:szCs w:val="18"/>
                <w:lang w:val="en-US"/>
              </w:rPr>
            </w:pPr>
            <w:r>
              <w:rPr>
                <w:rFonts w:cs="Calibri"/>
                <w:b/>
                <w:bCs/>
                <w:color w:val="0D0D0D"/>
                <w:kern w:val="2"/>
                <w:sz w:val="18"/>
                <w:szCs w:val="18"/>
                <w:lang w:val="en-US"/>
              </w:rPr>
              <w:t>Total financial assets</w:t>
            </w:r>
          </w:p>
        </w:tc>
        <w:tc>
          <w:tcPr>
            <w:tcW w:w="318" w:type="dxa"/>
            <w:tcBorders>
              <w:top w:val="nil"/>
              <w:left w:val="nil"/>
              <w:bottom w:val="nil"/>
              <w:right w:val="nil"/>
            </w:tcBorders>
            <w:vAlign w:val="bottom"/>
          </w:tcPr>
          <w:p w14:paraId="1EABC0D4"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333" w:type="dxa"/>
            <w:tcBorders>
              <w:top w:val="single" w:sz="4" w:space="0" w:color="auto"/>
              <w:left w:val="nil"/>
              <w:bottom w:val="single" w:sz="4" w:space="0" w:color="auto"/>
              <w:right w:val="nil"/>
            </w:tcBorders>
            <w:vAlign w:val="bottom"/>
          </w:tcPr>
          <w:p w14:paraId="3E114767"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363,652</w:t>
            </w:r>
          </w:p>
        </w:tc>
        <w:tc>
          <w:tcPr>
            <w:tcW w:w="1076" w:type="dxa"/>
            <w:tcBorders>
              <w:top w:val="single" w:sz="4" w:space="0" w:color="auto"/>
              <w:left w:val="nil"/>
              <w:bottom w:val="single" w:sz="4" w:space="0" w:color="auto"/>
              <w:right w:val="nil"/>
            </w:tcBorders>
            <w:vAlign w:val="bottom"/>
          </w:tcPr>
          <w:p w14:paraId="37ED11B6"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62,573</w:t>
            </w:r>
          </w:p>
        </w:tc>
      </w:tr>
      <w:tr w:rsidR="00F63659" w14:paraId="07FAFD50" w14:textId="77777777" w:rsidTr="00CC7A1D">
        <w:tc>
          <w:tcPr>
            <w:tcW w:w="5919" w:type="dxa"/>
            <w:tcBorders>
              <w:top w:val="nil"/>
              <w:left w:val="nil"/>
              <w:bottom w:val="nil"/>
              <w:right w:val="nil"/>
            </w:tcBorders>
          </w:tcPr>
          <w:p w14:paraId="08D21E6A" w14:textId="77777777" w:rsidR="00F63659" w:rsidRDefault="00F63659" w:rsidP="00CC7A1D">
            <w:pPr>
              <w:widowControl w:val="0"/>
              <w:autoSpaceDE w:val="0"/>
              <w:adjustRightInd w:val="0"/>
              <w:spacing w:before="120" w:after="120" w:line="240" w:lineRule="auto"/>
              <w:jc w:val="both"/>
              <w:rPr>
                <w:rFonts w:cs="Calibri"/>
                <w:b/>
                <w:bCs/>
                <w:color w:val="0D0D0D"/>
                <w:kern w:val="2"/>
                <w:sz w:val="18"/>
                <w:szCs w:val="18"/>
                <w:lang w:val="en-US"/>
              </w:rPr>
            </w:pPr>
            <w:r>
              <w:rPr>
                <w:rFonts w:cs="Calibri"/>
                <w:b/>
                <w:bCs/>
                <w:color w:val="0D0D0D"/>
                <w:kern w:val="2"/>
                <w:sz w:val="18"/>
                <w:szCs w:val="18"/>
                <w:lang w:val="en-US"/>
              </w:rPr>
              <w:t>Financial liabilities measured at amortised cost</w:t>
            </w:r>
          </w:p>
        </w:tc>
        <w:tc>
          <w:tcPr>
            <w:tcW w:w="318" w:type="dxa"/>
            <w:tcBorders>
              <w:top w:val="nil"/>
              <w:left w:val="nil"/>
              <w:bottom w:val="nil"/>
              <w:right w:val="nil"/>
            </w:tcBorders>
            <w:vAlign w:val="bottom"/>
          </w:tcPr>
          <w:p w14:paraId="7FE589FE"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333" w:type="dxa"/>
            <w:tcBorders>
              <w:top w:val="single" w:sz="4" w:space="0" w:color="auto"/>
              <w:left w:val="nil"/>
              <w:bottom w:val="nil"/>
              <w:right w:val="nil"/>
            </w:tcBorders>
            <w:vAlign w:val="bottom"/>
          </w:tcPr>
          <w:p w14:paraId="23EBCC09"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076" w:type="dxa"/>
            <w:tcBorders>
              <w:top w:val="single" w:sz="4" w:space="0" w:color="auto"/>
              <w:left w:val="nil"/>
              <w:bottom w:val="nil"/>
              <w:right w:val="nil"/>
            </w:tcBorders>
            <w:vAlign w:val="bottom"/>
          </w:tcPr>
          <w:p w14:paraId="27FF4B5D"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r>
      <w:tr w:rsidR="00F63659" w14:paraId="6389DA20" w14:textId="77777777" w:rsidTr="00CC7A1D">
        <w:tc>
          <w:tcPr>
            <w:tcW w:w="5919" w:type="dxa"/>
            <w:tcBorders>
              <w:top w:val="nil"/>
              <w:left w:val="nil"/>
              <w:bottom w:val="nil"/>
              <w:right w:val="nil"/>
            </w:tcBorders>
          </w:tcPr>
          <w:p w14:paraId="42D4A753" w14:textId="77777777" w:rsidR="00F63659" w:rsidRDefault="00F63659" w:rsidP="00CC7A1D">
            <w:pPr>
              <w:widowControl w:val="0"/>
              <w:autoSpaceDE w:val="0"/>
              <w:adjustRightInd w:val="0"/>
              <w:spacing w:before="120" w:after="120" w:line="240" w:lineRule="auto"/>
              <w:ind w:left="176"/>
              <w:jc w:val="both"/>
              <w:rPr>
                <w:rFonts w:cs="Calibri"/>
                <w:color w:val="0D0D0D"/>
                <w:kern w:val="2"/>
                <w:sz w:val="18"/>
                <w:szCs w:val="18"/>
                <w:lang w:val="en-US"/>
              </w:rPr>
            </w:pPr>
            <w:r>
              <w:rPr>
                <w:rFonts w:cs="Calibri"/>
                <w:color w:val="0D0D0D"/>
                <w:kern w:val="2"/>
                <w:sz w:val="18"/>
                <w:szCs w:val="18"/>
                <w:lang w:val="en-US"/>
              </w:rPr>
              <w:t>Trade and other payables</w:t>
            </w:r>
          </w:p>
        </w:tc>
        <w:tc>
          <w:tcPr>
            <w:tcW w:w="318" w:type="dxa"/>
            <w:tcBorders>
              <w:top w:val="nil"/>
              <w:left w:val="nil"/>
              <w:bottom w:val="nil"/>
              <w:right w:val="nil"/>
            </w:tcBorders>
            <w:vAlign w:val="bottom"/>
          </w:tcPr>
          <w:p w14:paraId="7323FD02"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333" w:type="dxa"/>
            <w:tcBorders>
              <w:top w:val="nil"/>
              <w:left w:val="nil"/>
              <w:bottom w:val="single" w:sz="4" w:space="0" w:color="auto"/>
              <w:right w:val="nil"/>
            </w:tcBorders>
            <w:vAlign w:val="bottom"/>
          </w:tcPr>
          <w:p w14:paraId="46AE181B"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35,014</w:t>
            </w:r>
          </w:p>
        </w:tc>
        <w:tc>
          <w:tcPr>
            <w:tcW w:w="1076" w:type="dxa"/>
            <w:tcBorders>
              <w:top w:val="nil"/>
              <w:left w:val="nil"/>
              <w:bottom w:val="single" w:sz="4" w:space="0" w:color="auto"/>
              <w:right w:val="nil"/>
            </w:tcBorders>
            <w:vAlign w:val="bottom"/>
          </w:tcPr>
          <w:p w14:paraId="1FDFB0AF"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38,268</w:t>
            </w:r>
          </w:p>
        </w:tc>
      </w:tr>
      <w:tr w:rsidR="00F63659" w14:paraId="4694F4B0" w14:textId="77777777" w:rsidTr="00CC7A1D">
        <w:tc>
          <w:tcPr>
            <w:tcW w:w="5919" w:type="dxa"/>
            <w:tcBorders>
              <w:top w:val="nil"/>
              <w:left w:val="nil"/>
              <w:bottom w:val="nil"/>
              <w:right w:val="nil"/>
            </w:tcBorders>
          </w:tcPr>
          <w:p w14:paraId="3A81F270" w14:textId="77777777" w:rsidR="00F63659" w:rsidRDefault="00F63659" w:rsidP="00CC7A1D">
            <w:pPr>
              <w:widowControl w:val="0"/>
              <w:autoSpaceDE w:val="0"/>
              <w:adjustRightInd w:val="0"/>
              <w:spacing w:before="120" w:after="120" w:line="240" w:lineRule="auto"/>
              <w:jc w:val="both"/>
              <w:rPr>
                <w:rFonts w:cs="Calibri"/>
                <w:b/>
                <w:bCs/>
                <w:color w:val="0D0D0D"/>
                <w:kern w:val="2"/>
                <w:sz w:val="18"/>
                <w:szCs w:val="18"/>
                <w:lang w:val="en-US"/>
              </w:rPr>
            </w:pPr>
            <w:r>
              <w:rPr>
                <w:rFonts w:cs="Calibri"/>
                <w:b/>
                <w:bCs/>
                <w:color w:val="0D0D0D"/>
                <w:kern w:val="2"/>
                <w:sz w:val="18"/>
                <w:szCs w:val="18"/>
                <w:lang w:val="en-US"/>
              </w:rPr>
              <w:t>Total financial liabilities</w:t>
            </w:r>
          </w:p>
        </w:tc>
        <w:tc>
          <w:tcPr>
            <w:tcW w:w="318" w:type="dxa"/>
            <w:tcBorders>
              <w:top w:val="nil"/>
              <w:left w:val="nil"/>
              <w:bottom w:val="nil"/>
              <w:right w:val="nil"/>
            </w:tcBorders>
            <w:vAlign w:val="bottom"/>
          </w:tcPr>
          <w:p w14:paraId="263E9359"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p>
        </w:tc>
        <w:tc>
          <w:tcPr>
            <w:tcW w:w="1333" w:type="dxa"/>
            <w:tcBorders>
              <w:top w:val="single" w:sz="4" w:space="0" w:color="auto"/>
              <w:left w:val="nil"/>
              <w:bottom w:val="single" w:sz="4" w:space="0" w:color="auto"/>
              <w:right w:val="nil"/>
            </w:tcBorders>
            <w:vAlign w:val="bottom"/>
          </w:tcPr>
          <w:p w14:paraId="49A77CF2"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35,014</w:t>
            </w:r>
          </w:p>
        </w:tc>
        <w:tc>
          <w:tcPr>
            <w:tcW w:w="1076" w:type="dxa"/>
            <w:tcBorders>
              <w:top w:val="single" w:sz="4" w:space="0" w:color="auto"/>
              <w:left w:val="nil"/>
              <w:bottom w:val="single" w:sz="4" w:space="0" w:color="auto"/>
              <w:right w:val="nil"/>
            </w:tcBorders>
            <w:vAlign w:val="bottom"/>
          </w:tcPr>
          <w:p w14:paraId="397131EC" w14:textId="77777777" w:rsidR="00F63659" w:rsidRDefault="00F63659" w:rsidP="00CC7A1D">
            <w:pPr>
              <w:widowControl w:val="0"/>
              <w:autoSpaceDE w:val="0"/>
              <w:adjustRightInd w:val="0"/>
              <w:spacing w:before="120" w:after="120" w:line="240" w:lineRule="auto"/>
              <w:jc w:val="right"/>
              <w:rPr>
                <w:rFonts w:cs="Calibri"/>
                <w:color w:val="0D0D0D"/>
                <w:kern w:val="2"/>
                <w:sz w:val="18"/>
                <w:szCs w:val="18"/>
                <w:lang w:val="en-US"/>
              </w:rPr>
            </w:pPr>
            <w:r>
              <w:rPr>
                <w:rFonts w:cs="Calibri"/>
                <w:color w:val="0D0D0D"/>
                <w:kern w:val="2"/>
                <w:sz w:val="18"/>
                <w:szCs w:val="18"/>
                <w:lang w:val="en-US"/>
              </w:rPr>
              <w:t>38,268</w:t>
            </w:r>
          </w:p>
        </w:tc>
      </w:tr>
    </w:tbl>
    <w:p w14:paraId="5B7BE87D" w14:textId="77777777" w:rsidR="00F63659" w:rsidRDefault="00F63659" w:rsidP="00F63659">
      <w:pPr>
        <w:widowControl w:val="0"/>
        <w:tabs>
          <w:tab w:val="left" w:pos="6521"/>
        </w:tabs>
        <w:autoSpaceDE w:val="0"/>
        <w:adjustRightInd w:val="0"/>
        <w:spacing w:before="120" w:after="0" w:line="240" w:lineRule="auto"/>
        <w:ind w:left="426"/>
        <w:jc w:val="both"/>
        <w:rPr>
          <w:rFonts w:cs="Calibri"/>
          <w:kern w:val="2"/>
          <w:sz w:val="18"/>
          <w:szCs w:val="18"/>
        </w:rPr>
      </w:pPr>
      <w:r>
        <w:rPr>
          <w:rFonts w:cs="Calibri"/>
          <w:kern w:val="2"/>
          <w:sz w:val="18"/>
          <w:szCs w:val="18"/>
        </w:rPr>
        <w:t>There are no financial assets that are either past due or impaired. The financial liabilities are due for payment in 1 to 3 months.</w:t>
      </w:r>
    </w:p>
    <w:p w14:paraId="3B92FA79" w14:textId="77777777" w:rsidR="00F63659" w:rsidRDefault="00F63659" w:rsidP="00F63659">
      <w:pPr>
        <w:widowControl w:val="0"/>
        <w:tabs>
          <w:tab w:val="left" w:pos="6521"/>
        </w:tabs>
        <w:autoSpaceDE w:val="0"/>
        <w:adjustRightInd w:val="0"/>
        <w:spacing w:before="120" w:after="0" w:line="240" w:lineRule="auto"/>
        <w:ind w:left="426"/>
        <w:jc w:val="both"/>
        <w:rPr>
          <w:rFonts w:ascii="Times New Roman" w:hAnsi="Times New Roman"/>
          <w:kern w:val="2"/>
          <w:sz w:val="20"/>
          <w:szCs w:val="20"/>
        </w:rPr>
      </w:pPr>
    </w:p>
    <w:p w14:paraId="109FBF7D" w14:textId="77777777" w:rsidR="00F63659" w:rsidRDefault="00F63659" w:rsidP="00F63659">
      <w:pPr>
        <w:widowControl w:val="0"/>
        <w:tabs>
          <w:tab w:val="left" w:pos="567"/>
        </w:tabs>
        <w:autoSpaceDE w:val="0"/>
        <w:adjustRightInd w:val="0"/>
        <w:spacing w:after="0" w:line="240" w:lineRule="auto"/>
        <w:ind w:left="426" w:hanging="360"/>
        <w:jc w:val="both"/>
        <w:rPr>
          <w:rFonts w:cs="Calibri"/>
          <w:b/>
          <w:bCs/>
          <w:color w:val="000000"/>
          <w:kern w:val="2"/>
          <w:sz w:val="18"/>
          <w:szCs w:val="18"/>
        </w:rPr>
      </w:pPr>
      <w:r>
        <w:rPr>
          <w:rFonts w:cs="Calibri"/>
          <w:b/>
          <w:bCs/>
          <w:color w:val="000000"/>
          <w:kern w:val="2"/>
          <w:sz w:val="18"/>
          <w:szCs w:val="18"/>
        </w:rPr>
        <w:t>13.</w:t>
      </w:r>
      <w:r>
        <w:rPr>
          <w:rFonts w:cs="Calibri"/>
          <w:b/>
          <w:bCs/>
          <w:color w:val="000000"/>
          <w:kern w:val="2"/>
          <w:sz w:val="18"/>
          <w:szCs w:val="18"/>
        </w:rPr>
        <w:tab/>
        <w:t>LOSS PER SHARE</w:t>
      </w:r>
    </w:p>
    <w:p w14:paraId="5B81D57B" w14:textId="77777777" w:rsidR="00F63659" w:rsidRDefault="00F63659" w:rsidP="00F63659">
      <w:pPr>
        <w:autoSpaceDE w:val="0"/>
        <w:adjustRightInd w:val="0"/>
        <w:spacing w:after="0" w:line="240" w:lineRule="auto"/>
        <w:ind w:left="360"/>
        <w:rPr>
          <w:rFonts w:ascii="Arial" w:hAnsi="Arial" w:cs="Arial"/>
          <w:b/>
          <w:bCs/>
          <w:sz w:val="18"/>
          <w:szCs w:val="18"/>
          <w:lang w:val="en-MY"/>
        </w:rPr>
      </w:pPr>
    </w:p>
    <w:p w14:paraId="1EE7BCEE" w14:textId="77777777" w:rsidR="00F63659" w:rsidRDefault="00F63659" w:rsidP="00F63659">
      <w:pPr>
        <w:widowControl w:val="0"/>
        <w:tabs>
          <w:tab w:val="left" w:pos="6521"/>
        </w:tabs>
        <w:autoSpaceDE w:val="0"/>
        <w:adjustRightInd w:val="0"/>
        <w:spacing w:before="120" w:after="0" w:line="240" w:lineRule="auto"/>
        <w:ind w:left="426"/>
        <w:jc w:val="both"/>
        <w:rPr>
          <w:rFonts w:cs="Calibri"/>
          <w:kern w:val="2"/>
          <w:sz w:val="18"/>
          <w:szCs w:val="18"/>
        </w:rPr>
      </w:pPr>
      <w:r>
        <w:rPr>
          <w:rFonts w:cs="Calibri"/>
          <w:kern w:val="2"/>
          <w:sz w:val="18"/>
          <w:szCs w:val="18"/>
        </w:rPr>
        <w:t>The loss per share has been calculated using the loss for the year and the weighted average number of ordinary shares entitled to dividend rights which were outstanding during the year. There were no potentially dilutive ordinary shares at the year end.</w:t>
      </w:r>
    </w:p>
    <w:p w14:paraId="3B47C9DB" w14:textId="77777777" w:rsidR="00F63659" w:rsidRDefault="00F63659" w:rsidP="00F63659">
      <w:pPr>
        <w:widowControl w:val="0"/>
        <w:tabs>
          <w:tab w:val="decimal" w:pos="7087"/>
          <w:tab w:val="decimal" w:pos="8504"/>
          <w:tab w:val="decimal" w:pos="9921"/>
        </w:tabs>
        <w:autoSpaceDE w:val="0"/>
        <w:adjustRightInd w:val="0"/>
        <w:spacing w:before="120" w:after="0" w:line="240" w:lineRule="auto"/>
        <w:jc w:val="both"/>
        <w:rPr>
          <w:rFonts w:ascii="Arial" w:hAnsi="Arial" w:cs="Arial"/>
          <w:kern w:val="2"/>
          <w:sz w:val="18"/>
          <w:szCs w:val="18"/>
        </w:rPr>
      </w:pPr>
    </w:p>
    <w:tbl>
      <w:tblPr>
        <w:tblW w:w="0" w:type="auto"/>
        <w:tblInd w:w="426" w:type="dxa"/>
        <w:tblLayout w:type="fixed"/>
        <w:tblLook w:val="0000" w:firstRow="0" w:lastRow="0" w:firstColumn="0" w:lastColumn="0" w:noHBand="0" w:noVBand="0"/>
      </w:tblPr>
      <w:tblGrid>
        <w:gridCol w:w="6237"/>
        <w:gridCol w:w="1275"/>
        <w:gridCol w:w="1116"/>
      </w:tblGrid>
      <w:tr w:rsidR="00F63659" w14:paraId="18DBFED5" w14:textId="77777777" w:rsidTr="00CC7A1D">
        <w:trPr>
          <w:trHeight w:val="269"/>
        </w:trPr>
        <w:tc>
          <w:tcPr>
            <w:tcW w:w="6237" w:type="dxa"/>
            <w:tcBorders>
              <w:top w:val="nil"/>
              <w:left w:val="nil"/>
              <w:bottom w:val="nil"/>
              <w:right w:val="nil"/>
            </w:tcBorders>
            <w:vAlign w:val="bottom"/>
          </w:tcPr>
          <w:p w14:paraId="4C17B6C4" w14:textId="77777777" w:rsidR="00F63659" w:rsidRDefault="00F63659" w:rsidP="00CC7A1D">
            <w:pPr>
              <w:widowControl w:val="0"/>
              <w:autoSpaceDE w:val="0"/>
              <w:adjustRightInd w:val="0"/>
              <w:spacing w:before="120" w:after="0" w:line="240" w:lineRule="auto"/>
              <w:jc w:val="both"/>
              <w:rPr>
                <w:rFonts w:ascii="Arial" w:hAnsi="Arial" w:cs="Arial"/>
                <w:kern w:val="2"/>
                <w:sz w:val="18"/>
                <w:szCs w:val="18"/>
              </w:rPr>
            </w:pPr>
          </w:p>
        </w:tc>
        <w:tc>
          <w:tcPr>
            <w:tcW w:w="1275" w:type="dxa"/>
            <w:tcBorders>
              <w:top w:val="nil"/>
              <w:left w:val="nil"/>
              <w:bottom w:val="nil"/>
              <w:right w:val="nil"/>
            </w:tcBorders>
          </w:tcPr>
          <w:p w14:paraId="44CB5FBC" w14:textId="77777777" w:rsidR="00F63659" w:rsidRDefault="00F63659" w:rsidP="00CC7A1D">
            <w:pPr>
              <w:widowControl w:val="0"/>
              <w:autoSpaceDE w:val="0"/>
              <w:adjustRightInd w:val="0"/>
              <w:spacing w:before="120" w:after="120" w:line="240" w:lineRule="auto"/>
              <w:jc w:val="right"/>
              <w:rPr>
                <w:rFonts w:cs="Calibri"/>
                <w:kern w:val="2"/>
                <w:sz w:val="18"/>
                <w:szCs w:val="18"/>
              </w:rPr>
            </w:pPr>
            <w:r>
              <w:rPr>
                <w:rFonts w:cs="Calibri"/>
                <w:kern w:val="2"/>
                <w:sz w:val="18"/>
                <w:szCs w:val="18"/>
              </w:rPr>
              <w:t>2021</w:t>
            </w:r>
          </w:p>
        </w:tc>
        <w:tc>
          <w:tcPr>
            <w:tcW w:w="1116" w:type="dxa"/>
            <w:tcBorders>
              <w:top w:val="nil"/>
              <w:left w:val="nil"/>
              <w:bottom w:val="nil"/>
              <w:right w:val="nil"/>
            </w:tcBorders>
          </w:tcPr>
          <w:p w14:paraId="492483AA" w14:textId="77777777" w:rsidR="00F63659" w:rsidRDefault="00F63659" w:rsidP="00CC7A1D">
            <w:pPr>
              <w:widowControl w:val="0"/>
              <w:autoSpaceDE w:val="0"/>
              <w:adjustRightInd w:val="0"/>
              <w:spacing w:before="120" w:after="120" w:line="240" w:lineRule="auto"/>
              <w:jc w:val="right"/>
              <w:rPr>
                <w:rFonts w:cs="Calibri"/>
                <w:kern w:val="2"/>
                <w:sz w:val="18"/>
                <w:szCs w:val="18"/>
              </w:rPr>
            </w:pPr>
            <w:r>
              <w:rPr>
                <w:rFonts w:cs="Calibri"/>
                <w:kern w:val="2"/>
                <w:sz w:val="18"/>
                <w:szCs w:val="18"/>
              </w:rPr>
              <w:t>2020</w:t>
            </w:r>
          </w:p>
        </w:tc>
      </w:tr>
      <w:tr w:rsidR="00F63659" w14:paraId="5C858A3C" w14:textId="77777777" w:rsidTr="00CC7A1D">
        <w:trPr>
          <w:trHeight w:val="269"/>
        </w:trPr>
        <w:tc>
          <w:tcPr>
            <w:tcW w:w="6237" w:type="dxa"/>
            <w:tcBorders>
              <w:top w:val="nil"/>
              <w:left w:val="nil"/>
              <w:bottom w:val="nil"/>
              <w:right w:val="nil"/>
            </w:tcBorders>
            <w:vAlign w:val="bottom"/>
          </w:tcPr>
          <w:p w14:paraId="4ACBDE56" w14:textId="77777777" w:rsidR="00F63659" w:rsidRDefault="00F63659" w:rsidP="00CC7A1D">
            <w:pPr>
              <w:widowControl w:val="0"/>
              <w:autoSpaceDE w:val="0"/>
              <w:adjustRightInd w:val="0"/>
              <w:spacing w:before="120" w:after="0" w:line="240" w:lineRule="auto"/>
              <w:jc w:val="both"/>
              <w:rPr>
                <w:rFonts w:ascii="Arial" w:hAnsi="Arial" w:cs="Arial"/>
                <w:kern w:val="2"/>
                <w:sz w:val="18"/>
                <w:szCs w:val="18"/>
              </w:rPr>
            </w:pPr>
          </w:p>
        </w:tc>
        <w:tc>
          <w:tcPr>
            <w:tcW w:w="1275" w:type="dxa"/>
            <w:tcBorders>
              <w:top w:val="nil"/>
              <w:left w:val="nil"/>
              <w:bottom w:val="nil"/>
              <w:right w:val="nil"/>
            </w:tcBorders>
          </w:tcPr>
          <w:p w14:paraId="0A1D627C" w14:textId="77777777" w:rsidR="00F63659" w:rsidRDefault="00F63659" w:rsidP="00CC7A1D">
            <w:pPr>
              <w:widowControl w:val="0"/>
              <w:autoSpaceDE w:val="0"/>
              <w:adjustRightInd w:val="0"/>
              <w:spacing w:before="120" w:after="0" w:line="240" w:lineRule="auto"/>
              <w:jc w:val="right"/>
              <w:rPr>
                <w:rFonts w:ascii="Arial" w:hAnsi="Arial" w:cs="Arial"/>
                <w:b/>
                <w:bCs/>
                <w:kern w:val="2"/>
                <w:sz w:val="18"/>
                <w:szCs w:val="18"/>
              </w:rPr>
            </w:pPr>
            <w:r>
              <w:rPr>
                <w:rFonts w:ascii="Arial" w:hAnsi="Arial" w:cs="Arial"/>
                <w:b/>
                <w:bCs/>
                <w:kern w:val="2"/>
                <w:sz w:val="18"/>
                <w:szCs w:val="18"/>
              </w:rPr>
              <w:t>£</w:t>
            </w:r>
          </w:p>
        </w:tc>
        <w:tc>
          <w:tcPr>
            <w:tcW w:w="1116" w:type="dxa"/>
            <w:tcBorders>
              <w:top w:val="nil"/>
              <w:left w:val="nil"/>
              <w:bottom w:val="nil"/>
              <w:right w:val="nil"/>
            </w:tcBorders>
          </w:tcPr>
          <w:p w14:paraId="2457EF56" w14:textId="77777777" w:rsidR="00F63659" w:rsidRDefault="00F63659" w:rsidP="00CC7A1D">
            <w:pPr>
              <w:widowControl w:val="0"/>
              <w:autoSpaceDE w:val="0"/>
              <w:adjustRightInd w:val="0"/>
              <w:spacing w:before="120" w:after="0" w:line="240" w:lineRule="auto"/>
              <w:jc w:val="right"/>
              <w:rPr>
                <w:rFonts w:ascii="Arial" w:hAnsi="Arial" w:cs="Arial"/>
                <w:b/>
                <w:bCs/>
                <w:kern w:val="2"/>
                <w:sz w:val="18"/>
                <w:szCs w:val="18"/>
              </w:rPr>
            </w:pPr>
            <w:r>
              <w:rPr>
                <w:rFonts w:ascii="Arial" w:hAnsi="Arial" w:cs="Arial"/>
                <w:b/>
                <w:bCs/>
                <w:kern w:val="2"/>
                <w:sz w:val="18"/>
                <w:szCs w:val="18"/>
              </w:rPr>
              <w:t>£</w:t>
            </w:r>
          </w:p>
        </w:tc>
      </w:tr>
      <w:tr w:rsidR="00F63659" w14:paraId="6675C40F" w14:textId="77777777" w:rsidTr="00CC7A1D">
        <w:trPr>
          <w:trHeight w:val="295"/>
        </w:trPr>
        <w:tc>
          <w:tcPr>
            <w:tcW w:w="6237" w:type="dxa"/>
            <w:tcBorders>
              <w:top w:val="nil"/>
              <w:left w:val="nil"/>
              <w:bottom w:val="nil"/>
              <w:right w:val="nil"/>
            </w:tcBorders>
            <w:vAlign w:val="center"/>
          </w:tcPr>
          <w:p w14:paraId="0A151164" w14:textId="77777777" w:rsidR="00F63659" w:rsidRDefault="00F63659" w:rsidP="00CC7A1D">
            <w:pPr>
              <w:widowControl w:val="0"/>
              <w:autoSpaceDE w:val="0"/>
              <w:adjustRightInd w:val="0"/>
              <w:spacing w:before="120" w:after="120" w:line="240" w:lineRule="auto"/>
              <w:jc w:val="both"/>
              <w:rPr>
                <w:rFonts w:cs="Calibri"/>
                <w:b/>
                <w:bCs/>
                <w:kern w:val="2"/>
                <w:sz w:val="18"/>
                <w:szCs w:val="18"/>
              </w:rPr>
            </w:pPr>
            <w:r>
              <w:rPr>
                <w:rFonts w:cs="Calibri"/>
                <w:b/>
                <w:bCs/>
                <w:kern w:val="2"/>
                <w:sz w:val="18"/>
                <w:szCs w:val="18"/>
              </w:rPr>
              <w:t xml:space="preserve">Loss for the period attributable to equity holders of the Company </w:t>
            </w:r>
          </w:p>
        </w:tc>
        <w:tc>
          <w:tcPr>
            <w:tcW w:w="1275" w:type="dxa"/>
            <w:tcBorders>
              <w:top w:val="nil"/>
              <w:left w:val="nil"/>
              <w:bottom w:val="nil"/>
              <w:right w:val="nil"/>
            </w:tcBorders>
            <w:vAlign w:val="center"/>
          </w:tcPr>
          <w:p w14:paraId="6548EAE3" w14:textId="77777777" w:rsidR="00F63659" w:rsidRDefault="00F63659" w:rsidP="00CC7A1D">
            <w:pPr>
              <w:widowControl w:val="0"/>
              <w:autoSpaceDE w:val="0"/>
              <w:adjustRightInd w:val="0"/>
              <w:spacing w:before="120" w:after="120" w:line="240" w:lineRule="auto"/>
              <w:jc w:val="right"/>
              <w:rPr>
                <w:rFonts w:cs="Calibri"/>
                <w:kern w:val="2"/>
                <w:sz w:val="18"/>
                <w:szCs w:val="18"/>
              </w:rPr>
            </w:pPr>
            <w:r>
              <w:rPr>
                <w:rFonts w:cs="Calibri"/>
                <w:kern w:val="2"/>
                <w:sz w:val="18"/>
                <w:szCs w:val="18"/>
              </w:rPr>
              <w:t>(207,612)</w:t>
            </w:r>
          </w:p>
        </w:tc>
        <w:tc>
          <w:tcPr>
            <w:tcW w:w="1116" w:type="dxa"/>
            <w:tcBorders>
              <w:top w:val="nil"/>
              <w:left w:val="nil"/>
              <w:bottom w:val="nil"/>
              <w:right w:val="nil"/>
            </w:tcBorders>
            <w:vAlign w:val="center"/>
          </w:tcPr>
          <w:p w14:paraId="39680432" w14:textId="77777777" w:rsidR="00F63659" w:rsidRDefault="00F63659" w:rsidP="00CC7A1D">
            <w:pPr>
              <w:widowControl w:val="0"/>
              <w:autoSpaceDE w:val="0"/>
              <w:adjustRightInd w:val="0"/>
              <w:spacing w:before="120" w:after="120" w:line="240" w:lineRule="auto"/>
              <w:jc w:val="right"/>
              <w:rPr>
                <w:rFonts w:cs="Calibri"/>
                <w:kern w:val="2"/>
                <w:sz w:val="18"/>
                <w:szCs w:val="18"/>
              </w:rPr>
            </w:pPr>
            <w:r>
              <w:rPr>
                <w:rFonts w:cs="Calibri"/>
                <w:kern w:val="2"/>
                <w:sz w:val="18"/>
                <w:szCs w:val="18"/>
              </w:rPr>
              <w:t>(39,338)</w:t>
            </w:r>
          </w:p>
        </w:tc>
      </w:tr>
      <w:tr w:rsidR="00F63659" w14:paraId="059B1568" w14:textId="77777777" w:rsidTr="00CC7A1D">
        <w:trPr>
          <w:trHeight w:val="295"/>
        </w:trPr>
        <w:tc>
          <w:tcPr>
            <w:tcW w:w="6237" w:type="dxa"/>
            <w:tcBorders>
              <w:top w:val="nil"/>
              <w:left w:val="nil"/>
              <w:bottom w:val="nil"/>
              <w:right w:val="nil"/>
            </w:tcBorders>
            <w:vAlign w:val="center"/>
          </w:tcPr>
          <w:p w14:paraId="4EEF61BE" w14:textId="77777777" w:rsidR="00F63659" w:rsidRDefault="00F63659" w:rsidP="00CC7A1D">
            <w:pPr>
              <w:widowControl w:val="0"/>
              <w:autoSpaceDE w:val="0"/>
              <w:adjustRightInd w:val="0"/>
              <w:spacing w:before="120" w:after="120" w:line="240" w:lineRule="auto"/>
              <w:jc w:val="both"/>
              <w:rPr>
                <w:rFonts w:cs="Calibri"/>
                <w:b/>
                <w:bCs/>
                <w:kern w:val="2"/>
                <w:sz w:val="18"/>
                <w:szCs w:val="18"/>
              </w:rPr>
            </w:pPr>
            <w:r>
              <w:rPr>
                <w:rFonts w:cs="Calibri"/>
                <w:b/>
                <w:bCs/>
                <w:kern w:val="2"/>
                <w:sz w:val="18"/>
                <w:szCs w:val="18"/>
              </w:rPr>
              <w:lastRenderedPageBreak/>
              <w:t>Weighted average number of ordinary shares (number of shares)</w:t>
            </w:r>
          </w:p>
        </w:tc>
        <w:tc>
          <w:tcPr>
            <w:tcW w:w="1275" w:type="dxa"/>
            <w:tcBorders>
              <w:top w:val="nil"/>
              <w:left w:val="nil"/>
              <w:bottom w:val="single" w:sz="4" w:space="0" w:color="auto"/>
              <w:right w:val="nil"/>
            </w:tcBorders>
            <w:vAlign w:val="center"/>
          </w:tcPr>
          <w:p w14:paraId="50859E3F" w14:textId="77777777" w:rsidR="00F63659" w:rsidRDefault="00F63659" w:rsidP="00CC7A1D">
            <w:pPr>
              <w:widowControl w:val="0"/>
              <w:autoSpaceDE w:val="0"/>
              <w:adjustRightInd w:val="0"/>
              <w:spacing w:after="0" w:line="240" w:lineRule="auto"/>
              <w:jc w:val="right"/>
              <w:rPr>
                <w:rFonts w:cs="Calibri"/>
                <w:kern w:val="2"/>
                <w:sz w:val="18"/>
                <w:szCs w:val="18"/>
              </w:rPr>
            </w:pPr>
            <w:r>
              <w:rPr>
                <w:rFonts w:cs="Calibri"/>
                <w:kern w:val="2"/>
                <w:sz w:val="18"/>
                <w:szCs w:val="18"/>
              </w:rPr>
              <w:t xml:space="preserve">    30,284,972</w:t>
            </w:r>
          </w:p>
        </w:tc>
        <w:tc>
          <w:tcPr>
            <w:tcW w:w="1116" w:type="dxa"/>
            <w:tcBorders>
              <w:top w:val="nil"/>
              <w:left w:val="nil"/>
              <w:bottom w:val="single" w:sz="4" w:space="0" w:color="auto"/>
              <w:right w:val="nil"/>
            </w:tcBorders>
            <w:vAlign w:val="center"/>
          </w:tcPr>
          <w:p w14:paraId="3114CA21" w14:textId="77777777" w:rsidR="00F63659" w:rsidRDefault="00F63659" w:rsidP="00CC7A1D">
            <w:pPr>
              <w:widowControl w:val="0"/>
              <w:autoSpaceDE w:val="0"/>
              <w:adjustRightInd w:val="0"/>
              <w:spacing w:before="120" w:after="120" w:line="240" w:lineRule="auto"/>
              <w:jc w:val="right"/>
              <w:rPr>
                <w:rFonts w:cs="Calibri"/>
                <w:kern w:val="2"/>
                <w:sz w:val="18"/>
                <w:szCs w:val="18"/>
              </w:rPr>
            </w:pPr>
            <w:r>
              <w:rPr>
                <w:rFonts w:cs="Calibri"/>
                <w:kern w:val="2"/>
                <w:sz w:val="18"/>
                <w:szCs w:val="18"/>
              </w:rPr>
              <w:t>14,550,000</w:t>
            </w:r>
          </w:p>
        </w:tc>
      </w:tr>
      <w:tr w:rsidR="00F63659" w14:paraId="3722C27C" w14:textId="77777777" w:rsidTr="00CC7A1D">
        <w:trPr>
          <w:trHeight w:val="295"/>
        </w:trPr>
        <w:tc>
          <w:tcPr>
            <w:tcW w:w="6237" w:type="dxa"/>
            <w:tcBorders>
              <w:top w:val="nil"/>
              <w:left w:val="nil"/>
              <w:bottom w:val="nil"/>
              <w:right w:val="nil"/>
            </w:tcBorders>
            <w:vAlign w:val="center"/>
          </w:tcPr>
          <w:p w14:paraId="2990D9D9" w14:textId="77777777" w:rsidR="00F63659" w:rsidRDefault="00F63659" w:rsidP="00CC7A1D">
            <w:pPr>
              <w:widowControl w:val="0"/>
              <w:autoSpaceDE w:val="0"/>
              <w:adjustRightInd w:val="0"/>
              <w:spacing w:before="120" w:after="120" w:line="240" w:lineRule="auto"/>
              <w:jc w:val="both"/>
              <w:rPr>
                <w:rFonts w:cs="Calibri"/>
                <w:b/>
                <w:bCs/>
                <w:kern w:val="2"/>
                <w:sz w:val="18"/>
                <w:szCs w:val="18"/>
              </w:rPr>
            </w:pPr>
            <w:r>
              <w:rPr>
                <w:rFonts w:cs="Calibri"/>
                <w:b/>
                <w:bCs/>
                <w:kern w:val="2"/>
                <w:sz w:val="18"/>
                <w:szCs w:val="18"/>
              </w:rPr>
              <w:t>Loss per share (pence per share)</w:t>
            </w:r>
          </w:p>
        </w:tc>
        <w:tc>
          <w:tcPr>
            <w:tcW w:w="1275" w:type="dxa"/>
            <w:tcBorders>
              <w:top w:val="single" w:sz="4" w:space="0" w:color="auto"/>
              <w:left w:val="nil"/>
              <w:bottom w:val="single" w:sz="4" w:space="0" w:color="auto"/>
              <w:right w:val="nil"/>
            </w:tcBorders>
            <w:vAlign w:val="center"/>
          </w:tcPr>
          <w:p w14:paraId="350233F9" w14:textId="77777777" w:rsidR="00F63659" w:rsidRDefault="00F63659" w:rsidP="00CC7A1D">
            <w:pPr>
              <w:widowControl w:val="0"/>
              <w:autoSpaceDE w:val="0"/>
              <w:adjustRightInd w:val="0"/>
              <w:spacing w:before="120" w:after="120" w:line="240" w:lineRule="auto"/>
              <w:jc w:val="right"/>
              <w:rPr>
                <w:rFonts w:cs="Calibri"/>
                <w:kern w:val="2"/>
                <w:sz w:val="18"/>
                <w:szCs w:val="18"/>
              </w:rPr>
            </w:pPr>
            <w:r>
              <w:rPr>
                <w:rFonts w:cs="Calibri"/>
                <w:kern w:val="2"/>
                <w:sz w:val="18"/>
                <w:szCs w:val="18"/>
              </w:rPr>
              <w:t>(0.69)</w:t>
            </w:r>
          </w:p>
        </w:tc>
        <w:tc>
          <w:tcPr>
            <w:tcW w:w="1116" w:type="dxa"/>
            <w:tcBorders>
              <w:top w:val="single" w:sz="4" w:space="0" w:color="auto"/>
              <w:left w:val="nil"/>
              <w:bottom w:val="single" w:sz="4" w:space="0" w:color="auto"/>
              <w:right w:val="nil"/>
            </w:tcBorders>
            <w:vAlign w:val="center"/>
          </w:tcPr>
          <w:p w14:paraId="30909EA4" w14:textId="77777777" w:rsidR="00F63659" w:rsidRDefault="00F63659" w:rsidP="00CC7A1D">
            <w:pPr>
              <w:widowControl w:val="0"/>
              <w:autoSpaceDE w:val="0"/>
              <w:adjustRightInd w:val="0"/>
              <w:spacing w:before="120" w:after="120" w:line="240" w:lineRule="auto"/>
              <w:jc w:val="right"/>
              <w:rPr>
                <w:rFonts w:cs="Calibri"/>
                <w:kern w:val="2"/>
                <w:sz w:val="18"/>
                <w:szCs w:val="18"/>
              </w:rPr>
            </w:pPr>
            <w:r>
              <w:rPr>
                <w:rFonts w:cs="Calibri"/>
                <w:kern w:val="2"/>
                <w:sz w:val="18"/>
                <w:szCs w:val="18"/>
              </w:rPr>
              <w:t>(0.27)</w:t>
            </w:r>
          </w:p>
        </w:tc>
      </w:tr>
    </w:tbl>
    <w:p w14:paraId="4B8BDEC5" w14:textId="77777777" w:rsidR="00F63659" w:rsidRDefault="00F63659" w:rsidP="00F63659">
      <w:pPr>
        <w:widowControl w:val="0"/>
        <w:tabs>
          <w:tab w:val="left" w:pos="6521"/>
        </w:tabs>
        <w:autoSpaceDE w:val="0"/>
        <w:adjustRightInd w:val="0"/>
        <w:spacing w:before="120" w:after="0" w:line="240" w:lineRule="auto"/>
        <w:jc w:val="both"/>
        <w:rPr>
          <w:rFonts w:ascii="Times New Roman" w:hAnsi="Times New Roman"/>
          <w:kern w:val="2"/>
          <w:sz w:val="20"/>
          <w:szCs w:val="20"/>
        </w:rPr>
      </w:pPr>
    </w:p>
    <w:p w14:paraId="4FEE0F98" w14:textId="77777777" w:rsidR="00F63659" w:rsidRDefault="00F63659" w:rsidP="00F63659">
      <w:pPr>
        <w:widowControl w:val="0"/>
        <w:tabs>
          <w:tab w:val="left" w:pos="567"/>
        </w:tabs>
        <w:autoSpaceDE w:val="0"/>
        <w:adjustRightInd w:val="0"/>
        <w:spacing w:after="0" w:line="240" w:lineRule="auto"/>
        <w:ind w:left="426" w:hanging="360"/>
        <w:jc w:val="both"/>
        <w:rPr>
          <w:rFonts w:cs="Calibri"/>
          <w:b/>
          <w:bCs/>
          <w:color w:val="000000"/>
          <w:kern w:val="2"/>
          <w:sz w:val="18"/>
          <w:szCs w:val="18"/>
        </w:rPr>
      </w:pPr>
      <w:r>
        <w:rPr>
          <w:rFonts w:cs="Calibri"/>
          <w:b/>
          <w:bCs/>
          <w:color w:val="000000"/>
          <w:kern w:val="2"/>
          <w:sz w:val="18"/>
          <w:szCs w:val="18"/>
        </w:rPr>
        <w:t>14.</w:t>
      </w:r>
      <w:r>
        <w:rPr>
          <w:rFonts w:cs="Calibri"/>
          <w:b/>
          <w:bCs/>
          <w:color w:val="000000"/>
          <w:kern w:val="2"/>
          <w:sz w:val="18"/>
          <w:szCs w:val="18"/>
        </w:rPr>
        <w:tab/>
        <w:t>RELATED PARTY TRANSACTIONS</w:t>
      </w:r>
    </w:p>
    <w:p w14:paraId="7AD926DD" w14:textId="77777777" w:rsidR="00F63659" w:rsidRDefault="00F63659" w:rsidP="00F63659">
      <w:pPr>
        <w:tabs>
          <w:tab w:val="left" w:pos="2640"/>
        </w:tabs>
        <w:autoSpaceDE w:val="0"/>
        <w:adjustRightInd w:val="0"/>
        <w:spacing w:after="0" w:line="240" w:lineRule="auto"/>
        <w:ind w:left="426"/>
        <w:rPr>
          <w:rFonts w:ascii="Times New Roman" w:hAnsi="Times New Roman"/>
          <w:b/>
          <w:bCs/>
          <w:lang w:val="en-MY"/>
        </w:rPr>
      </w:pPr>
      <w:r>
        <w:rPr>
          <w:rFonts w:ascii="Times New Roman" w:hAnsi="Times New Roman"/>
          <w:b/>
          <w:bCs/>
          <w:lang w:val="en-MY"/>
        </w:rPr>
        <w:tab/>
      </w:r>
    </w:p>
    <w:p w14:paraId="77B4D4A8" w14:textId="77777777" w:rsidR="00F63659" w:rsidRDefault="00F63659" w:rsidP="00F63659">
      <w:pPr>
        <w:autoSpaceDE w:val="0"/>
        <w:adjustRightInd w:val="0"/>
        <w:spacing w:after="0" w:line="240" w:lineRule="auto"/>
        <w:ind w:left="426"/>
        <w:jc w:val="both"/>
        <w:rPr>
          <w:rFonts w:cs="Calibri"/>
          <w:kern w:val="2"/>
          <w:sz w:val="18"/>
          <w:szCs w:val="18"/>
        </w:rPr>
      </w:pPr>
      <w:r>
        <w:rPr>
          <w:rFonts w:cs="Calibri"/>
          <w:kern w:val="2"/>
          <w:sz w:val="18"/>
          <w:szCs w:val="18"/>
        </w:rPr>
        <w:t>Key management are considered to be the directors and the key management personnel compensation has been disclosed in note 7.</w:t>
      </w:r>
    </w:p>
    <w:p w14:paraId="6F4F3248" w14:textId="77777777" w:rsidR="00F63659" w:rsidRDefault="00F63659" w:rsidP="00F63659">
      <w:pPr>
        <w:autoSpaceDE w:val="0"/>
        <w:adjustRightInd w:val="0"/>
        <w:spacing w:after="0" w:line="240" w:lineRule="auto"/>
        <w:ind w:left="426"/>
        <w:jc w:val="both"/>
        <w:rPr>
          <w:rFonts w:ascii="Times New Roman" w:hAnsi="Times New Roman"/>
          <w:highlight w:val="green"/>
          <w:lang w:val="en-MY"/>
        </w:rPr>
      </w:pPr>
    </w:p>
    <w:p w14:paraId="4C48DABC" w14:textId="77777777" w:rsidR="00F63659" w:rsidRDefault="00F63659" w:rsidP="00F63659">
      <w:pPr>
        <w:autoSpaceDE w:val="0"/>
        <w:adjustRightInd w:val="0"/>
        <w:spacing w:after="0" w:line="240" w:lineRule="auto"/>
        <w:ind w:left="426"/>
        <w:jc w:val="both"/>
        <w:rPr>
          <w:rFonts w:cs="Calibri"/>
          <w:kern w:val="2"/>
          <w:sz w:val="18"/>
          <w:szCs w:val="18"/>
        </w:rPr>
      </w:pPr>
      <w:r>
        <w:rPr>
          <w:rFonts w:cs="Calibri"/>
          <w:kern w:val="2"/>
          <w:sz w:val="18"/>
          <w:szCs w:val="18"/>
        </w:rPr>
        <w:t xml:space="preserve">During the period the company entered into an agreement with VSA Capital Limited which provided financial advisory and broker services to the Company. Andrew Monk was a director and shareholder of VSA Capital Limited. The total amount of the services provided was £124,032 (2020: £10,000), and £nil (2020: £75) is included in trade and other payables at 31 January 2021. </w:t>
      </w:r>
    </w:p>
    <w:p w14:paraId="21FC2B66" w14:textId="77777777" w:rsidR="00F63659" w:rsidRDefault="00F63659" w:rsidP="00F63659">
      <w:pPr>
        <w:autoSpaceDE w:val="0"/>
        <w:adjustRightInd w:val="0"/>
        <w:spacing w:after="0" w:line="240" w:lineRule="auto"/>
        <w:ind w:left="426"/>
        <w:jc w:val="both"/>
        <w:rPr>
          <w:rFonts w:cs="Calibri"/>
          <w:kern w:val="2"/>
          <w:sz w:val="18"/>
          <w:szCs w:val="18"/>
        </w:rPr>
      </w:pPr>
    </w:p>
    <w:p w14:paraId="6219BE5F" w14:textId="77777777" w:rsidR="00F63659" w:rsidRDefault="00F63659" w:rsidP="00F63659">
      <w:pPr>
        <w:autoSpaceDE w:val="0"/>
        <w:adjustRightInd w:val="0"/>
        <w:spacing w:after="0" w:line="240" w:lineRule="auto"/>
        <w:ind w:left="426"/>
        <w:jc w:val="both"/>
        <w:rPr>
          <w:rFonts w:cs="Calibri"/>
          <w:sz w:val="18"/>
          <w:szCs w:val="18"/>
          <w:lang w:val="en-MY"/>
        </w:rPr>
      </w:pPr>
      <w:r>
        <w:rPr>
          <w:rFonts w:cs="Calibri"/>
          <w:kern w:val="2"/>
          <w:sz w:val="18"/>
          <w:szCs w:val="18"/>
        </w:rPr>
        <w:t>The company entered into an agreement with VSA Capital Private Investments Plc which provided financial advisory to the Company. Andrew Monk was a director and shareholder of VSA Capital Private Investments Plc. The total amount of the services provided was £nil (2020: £10,000), and £nil (2020: £nil) is included in trade and other payables at 31 January 2021</w:t>
      </w:r>
    </w:p>
    <w:p w14:paraId="10A925F2" w14:textId="77777777" w:rsidR="00F63659" w:rsidRDefault="00F63659" w:rsidP="00F63659">
      <w:pPr>
        <w:widowControl w:val="0"/>
        <w:autoSpaceDE w:val="0"/>
        <w:adjustRightInd w:val="0"/>
        <w:spacing w:before="120" w:after="120" w:line="240" w:lineRule="auto"/>
        <w:ind w:left="426"/>
        <w:jc w:val="both"/>
        <w:rPr>
          <w:rFonts w:cs="Calibri"/>
          <w:kern w:val="2"/>
          <w:sz w:val="18"/>
          <w:szCs w:val="18"/>
        </w:rPr>
      </w:pPr>
    </w:p>
    <w:p w14:paraId="442169D0"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15.</w:t>
      </w:r>
      <w:r>
        <w:rPr>
          <w:rFonts w:cs="Calibri"/>
          <w:b/>
          <w:bCs/>
          <w:kern w:val="2"/>
          <w:sz w:val="18"/>
          <w:szCs w:val="18"/>
        </w:rPr>
        <w:tab/>
        <w:t>EVENTS SUBSEQUENT TO YEAR END</w:t>
      </w:r>
    </w:p>
    <w:p w14:paraId="50E5338B" w14:textId="77777777" w:rsidR="00F63659" w:rsidRDefault="00F63659" w:rsidP="00F63659">
      <w:pPr>
        <w:autoSpaceDE w:val="0"/>
        <w:adjustRightInd w:val="0"/>
        <w:spacing w:after="0" w:line="240" w:lineRule="auto"/>
        <w:ind w:left="426"/>
        <w:rPr>
          <w:rFonts w:cs="Calibri"/>
          <w:b/>
          <w:bCs/>
          <w:kern w:val="2"/>
          <w:sz w:val="18"/>
          <w:szCs w:val="18"/>
        </w:rPr>
      </w:pPr>
    </w:p>
    <w:p w14:paraId="03F73351" w14:textId="77777777" w:rsidR="00F63659" w:rsidRDefault="00F63659" w:rsidP="00F63659">
      <w:pPr>
        <w:autoSpaceDE w:val="0"/>
        <w:adjustRightInd w:val="0"/>
        <w:spacing w:after="0" w:line="240" w:lineRule="auto"/>
        <w:ind w:left="426"/>
        <w:rPr>
          <w:rFonts w:cs="Calibri"/>
          <w:kern w:val="2"/>
          <w:sz w:val="18"/>
          <w:szCs w:val="18"/>
        </w:rPr>
      </w:pPr>
      <w:r>
        <w:rPr>
          <w:rFonts w:cs="Calibri"/>
          <w:kern w:val="2"/>
          <w:sz w:val="18"/>
          <w:szCs w:val="18"/>
        </w:rPr>
        <w:t xml:space="preserve">There have been no material events subsequent to the year end.  </w:t>
      </w:r>
    </w:p>
    <w:p w14:paraId="3D785968" w14:textId="77777777" w:rsidR="00F63659" w:rsidRDefault="00F63659" w:rsidP="00F63659">
      <w:pPr>
        <w:autoSpaceDE w:val="0"/>
        <w:adjustRightInd w:val="0"/>
        <w:spacing w:after="0" w:line="240" w:lineRule="auto"/>
        <w:rPr>
          <w:rFonts w:cs="Calibri"/>
          <w:b/>
          <w:bCs/>
          <w:kern w:val="2"/>
          <w:sz w:val="18"/>
          <w:szCs w:val="18"/>
        </w:rPr>
      </w:pPr>
    </w:p>
    <w:p w14:paraId="4D0AC059" w14:textId="77777777" w:rsidR="00F63659" w:rsidRDefault="00F63659" w:rsidP="00F63659">
      <w:pPr>
        <w:autoSpaceDE w:val="0"/>
        <w:adjustRightInd w:val="0"/>
        <w:spacing w:after="0" w:line="240" w:lineRule="auto"/>
        <w:ind w:left="426"/>
        <w:rPr>
          <w:rFonts w:cs="Calibri"/>
          <w:b/>
          <w:bCs/>
          <w:kern w:val="2"/>
          <w:sz w:val="18"/>
          <w:szCs w:val="18"/>
        </w:rPr>
      </w:pPr>
    </w:p>
    <w:p w14:paraId="308200CE" w14:textId="77777777" w:rsidR="00F63659" w:rsidRDefault="00F63659" w:rsidP="00F63659">
      <w:pPr>
        <w:autoSpaceDE w:val="0"/>
        <w:adjustRightInd w:val="0"/>
        <w:spacing w:after="0" w:line="240" w:lineRule="auto"/>
        <w:ind w:left="426" w:hanging="360"/>
        <w:rPr>
          <w:rFonts w:cs="Calibri"/>
          <w:b/>
          <w:bCs/>
          <w:kern w:val="2"/>
          <w:sz w:val="18"/>
          <w:szCs w:val="18"/>
        </w:rPr>
      </w:pPr>
      <w:r>
        <w:rPr>
          <w:rFonts w:cs="Calibri"/>
          <w:b/>
          <w:bCs/>
          <w:kern w:val="2"/>
          <w:sz w:val="18"/>
          <w:szCs w:val="18"/>
        </w:rPr>
        <w:t>16.</w:t>
      </w:r>
      <w:r>
        <w:rPr>
          <w:rFonts w:cs="Calibri"/>
          <w:b/>
          <w:bCs/>
          <w:kern w:val="2"/>
          <w:sz w:val="18"/>
          <w:szCs w:val="18"/>
        </w:rPr>
        <w:tab/>
        <w:t>ULTIMATE CONTROLLING PARTY</w:t>
      </w:r>
    </w:p>
    <w:p w14:paraId="0665BCF3" w14:textId="77777777" w:rsidR="00F63659" w:rsidRDefault="00F63659" w:rsidP="00F63659">
      <w:pPr>
        <w:autoSpaceDE w:val="0"/>
        <w:adjustRightInd w:val="0"/>
        <w:spacing w:after="0" w:line="240" w:lineRule="auto"/>
        <w:ind w:left="66"/>
        <w:rPr>
          <w:rFonts w:cs="Calibri"/>
          <w:b/>
          <w:bCs/>
          <w:kern w:val="2"/>
          <w:sz w:val="18"/>
          <w:szCs w:val="18"/>
        </w:rPr>
      </w:pPr>
    </w:p>
    <w:p w14:paraId="080E6F27" w14:textId="77777777" w:rsidR="00F63659" w:rsidRDefault="00F63659" w:rsidP="00F63659">
      <w:pPr>
        <w:widowControl w:val="0"/>
        <w:autoSpaceDE w:val="0"/>
        <w:adjustRightInd w:val="0"/>
        <w:spacing w:before="120" w:after="120" w:line="240" w:lineRule="auto"/>
        <w:ind w:left="426"/>
        <w:jc w:val="both"/>
        <w:rPr>
          <w:rFonts w:cs="Calibri"/>
          <w:color w:val="000000"/>
          <w:kern w:val="2"/>
          <w:sz w:val="18"/>
          <w:szCs w:val="18"/>
        </w:rPr>
      </w:pPr>
      <w:r>
        <w:rPr>
          <w:rFonts w:cs="Calibri"/>
          <w:kern w:val="2"/>
          <w:sz w:val="18"/>
          <w:szCs w:val="18"/>
        </w:rPr>
        <w:t>As at 31 January 2021 there was no ultimate controlling party.</w:t>
      </w:r>
    </w:p>
    <w:p w14:paraId="2CCAD97A" w14:textId="77777777" w:rsidR="00F63659" w:rsidRDefault="00F63659" w:rsidP="00F63659">
      <w:pPr>
        <w:autoSpaceDE w:val="0"/>
        <w:adjustRightInd w:val="0"/>
        <w:spacing w:after="200" w:line="276" w:lineRule="auto"/>
        <w:rPr>
          <w:rFonts w:cs="Calibri"/>
          <w:lang w:val="en"/>
        </w:rPr>
      </w:pPr>
    </w:p>
    <w:p w14:paraId="7D05DA89" w14:textId="77777777" w:rsidR="00F63659" w:rsidRPr="00425A63" w:rsidRDefault="00F63659" w:rsidP="00F63659">
      <w:pPr>
        <w:rPr>
          <w:lang w:val="en"/>
        </w:rPr>
      </w:pPr>
    </w:p>
    <w:sectPr w:rsidR="00F63659" w:rsidRPr="00425A63" w:rsidSect="001C22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D5C6" w14:textId="77777777" w:rsidR="00AB70D9" w:rsidRDefault="00AB70D9">
      <w:pPr>
        <w:spacing w:after="0" w:line="240" w:lineRule="auto"/>
      </w:pPr>
      <w:r>
        <w:separator/>
      </w:r>
    </w:p>
  </w:endnote>
  <w:endnote w:type="continuationSeparator" w:id="0">
    <w:p w14:paraId="3091C52B" w14:textId="77777777" w:rsidR="00AB70D9" w:rsidRDefault="00A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B934" w14:textId="77777777" w:rsidR="00AB70D9" w:rsidRDefault="00AB70D9">
      <w:pPr>
        <w:spacing w:after="0" w:line="240" w:lineRule="auto"/>
      </w:pPr>
      <w:r>
        <w:rPr>
          <w:color w:val="000000"/>
        </w:rPr>
        <w:separator/>
      </w:r>
    </w:p>
  </w:footnote>
  <w:footnote w:type="continuationSeparator" w:id="0">
    <w:p w14:paraId="2A78A061" w14:textId="77777777" w:rsidR="00AB70D9" w:rsidRDefault="00A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65C2348"/>
    <w:lvl w:ilvl="0">
      <w:numFmt w:val="bullet"/>
      <w:lvlText w:val="*"/>
      <w:lvlJc w:val="left"/>
    </w:lvl>
  </w:abstractNum>
  <w:abstractNum w:abstractNumId="1" w15:restartNumberingAfterBreak="0">
    <w:nsid w:val="3C182052"/>
    <w:multiLevelType w:val="multilevel"/>
    <w:tmpl w:val="2626EFB2"/>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7AED1A8B"/>
    <w:multiLevelType w:val="singleLevel"/>
    <w:tmpl w:val="DC1831F6"/>
    <w:lvl w:ilvl="0">
      <w:start w:val="1"/>
      <w:numFmt w:val="decimal"/>
      <w:lvlText w:val="%1."/>
      <w:legacy w:legacy="1" w:legacySpace="0" w:legacyIndent="0"/>
      <w:lvlJc w:val="left"/>
      <w:rPr>
        <w:rFonts w:ascii="Calibri" w:hAnsi="Calibri" w:cs="Calibri"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C9"/>
    <w:rsid w:val="00054442"/>
    <w:rsid w:val="001C22E6"/>
    <w:rsid w:val="003802C9"/>
    <w:rsid w:val="004B6603"/>
    <w:rsid w:val="00573334"/>
    <w:rsid w:val="006554E4"/>
    <w:rsid w:val="00704337"/>
    <w:rsid w:val="007A71FA"/>
    <w:rsid w:val="00906108"/>
    <w:rsid w:val="009916DA"/>
    <w:rsid w:val="009A5B0C"/>
    <w:rsid w:val="00AA0B55"/>
    <w:rsid w:val="00AB70D9"/>
    <w:rsid w:val="00D8030A"/>
    <w:rsid w:val="00E1422A"/>
    <w:rsid w:val="00F4313E"/>
    <w:rsid w:val="00F6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2060"/>
  <w15:docId w15:val="{3A2A2DB3-88DE-4FB6-8D22-016DCEDC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30A"/>
    <w:rPr>
      <w:color w:val="0563C1" w:themeColor="hyperlink"/>
      <w:u w:val="single"/>
    </w:rPr>
  </w:style>
  <w:style w:type="character" w:styleId="UnresolvedMention">
    <w:name w:val="Unresolved Mention"/>
    <w:basedOn w:val="DefaultParagraphFont"/>
    <w:uiPriority w:val="99"/>
    <w:semiHidden/>
    <w:unhideWhenUsed/>
    <w:rsid w:val="00D8030A"/>
    <w:rPr>
      <w:color w:val="605E5C"/>
      <w:shd w:val="clear" w:color="auto" w:fill="E1DFDD"/>
    </w:rPr>
  </w:style>
  <w:style w:type="table" w:styleId="GridTable1Light">
    <w:name w:val="Grid Table 1 Light"/>
    <w:basedOn w:val="TableNormal"/>
    <w:uiPriority w:val="46"/>
    <w:rsid w:val="00D8030A"/>
    <w:pPr>
      <w:autoSpaceDN/>
      <w:spacing w:after="0" w:line="240" w:lineRule="auto"/>
      <w:textAlignment w:val="auto"/>
    </w:pPr>
    <w:rPr>
      <w:rFonts w:asciiTheme="minorHAnsi" w:eastAsiaTheme="minorHAnsi"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b">
    <w:name w:val="cb"/>
    <w:basedOn w:val="Normal"/>
    <w:rsid w:val="001C22E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cc">
    <w:name w:val="cc"/>
    <w:basedOn w:val="Normal"/>
    <w:rsid w:val="001C22E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bw">
    <w:name w:val="bw"/>
    <w:basedOn w:val="DefaultParagraphFont"/>
    <w:rsid w:val="001C22E6"/>
  </w:style>
  <w:style w:type="paragraph" w:customStyle="1" w:styleId="font8">
    <w:name w:val="font_8"/>
    <w:basedOn w:val="Normal"/>
    <w:rsid w:val="001C22E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ListParagraph">
    <w:name w:val="List Paragraph"/>
    <w:basedOn w:val="Normal"/>
    <w:uiPriority w:val="34"/>
    <w:qFormat/>
    <w:rsid w:val="00E1422A"/>
    <w:pPr>
      <w:ind w:left="720"/>
      <w:contextualSpacing/>
    </w:pPr>
  </w:style>
  <w:style w:type="paragraph" w:customStyle="1" w:styleId="TextStd">
    <w:name w:val="TextStd"/>
    <w:link w:val="TextStdChar"/>
    <w:rsid w:val="00704337"/>
    <w:pPr>
      <w:widowControl w:val="0"/>
      <w:tabs>
        <w:tab w:val="left" w:pos="576"/>
        <w:tab w:val="left" w:pos="1152"/>
      </w:tabs>
      <w:autoSpaceDE w:val="0"/>
      <w:adjustRightInd w:val="0"/>
      <w:spacing w:after="0" w:line="240" w:lineRule="auto"/>
      <w:jc w:val="both"/>
      <w:textAlignment w:val="auto"/>
    </w:pPr>
    <w:rPr>
      <w:rFonts w:ascii="Arial" w:eastAsia="Times New Roman" w:hAnsi="Arial" w:cs="Arial"/>
      <w:color w:val="000000"/>
      <w:sz w:val="20"/>
      <w:szCs w:val="20"/>
      <w:lang w:val="en-US"/>
    </w:rPr>
  </w:style>
  <w:style w:type="character" w:customStyle="1" w:styleId="TextStdChar">
    <w:name w:val="TextStd Char"/>
    <w:link w:val="TextStd"/>
    <w:locked/>
    <w:rsid w:val="00704337"/>
    <w:rPr>
      <w:rFonts w:ascii="Arial" w:eastAsia="Times New Roman"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9547">
      <w:bodyDiv w:val="1"/>
      <w:marLeft w:val="0"/>
      <w:marRight w:val="0"/>
      <w:marTop w:val="0"/>
      <w:marBottom w:val="0"/>
      <w:divBdr>
        <w:top w:val="none" w:sz="0" w:space="0" w:color="auto"/>
        <w:left w:val="none" w:sz="0" w:space="0" w:color="auto"/>
        <w:bottom w:val="none" w:sz="0" w:space="0" w:color="auto"/>
        <w:right w:val="none" w:sz="0" w:space="0" w:color="auto"/>
      </w:divBdr>
    </w:div>
    <w:div w:id="186331356">
      <w:bodyDiv w:val="1"/>
      <w:marLeft w:val="0"/>
      <w:marRight w:val="0"/>
      <w:marTop w:val="0"/>
      <w:marBottom w:val="0"/>
      <w:divBdr>
        <w:top w:val="none" w:sz="0" w:space="0" w:color="auto"/>
        <w:left w:val="none" w:sz="0" w:space="0" w:color="auto"/>
        <w:bottom w:val="none" w:sz="0" w:space="0" w:color="auto"/>
        <w:right w:val="none" w:sz="0" w:space="0" w:color="auto"/>
      </w:divBdr>
    </w:div>
    <w:div w:id="1535730607">
      <w:bodyDiv w:val="1"/>
      <w:marLeft w:val="0"/>
      <w:marRight w:val="0"/>
      <w:marTop w:val="0"/>
      <w:marBottom w:val="0"/>
      <w:divBdr>
        <w:top w:val="none" w:sz="0" w:space="0" w:color="auto"/>
        <w:left w:val="none" w:sz="0" w:space="0" w:color="auto"/>
        <w:bottom w:val="none" w:sz="0" w:space="0" w:color="auto"/>
        <w:right w:val="none" w:sz="0" w:space="0" w:color="auto"/>
      </w:divBdr>
    </w:div>
    <w:div w:id="212133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oy@mmmplc.com" TargetMode="External"/><Relationship Id="rId3" Type="http://schemas.openxmlformats.org/officeDocument/2006/relationships/settings" Target="settings.xml"/><Relationship Id="rId7" Type="http://schemas.openxmlformats.org/officeDocument/2006/relationships/hyperlink" Target="http://www.mmmpl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www.frc.org.uk/auditorsresponsibilities" TargetMode="External"/><Relationship Id="rId4" Type="http://schemas.openxmlformats.org/officeDocument/2006/relationships/webSettings" Target="webSettings.xml"/><Relationship Id="rId9" Type="http://schemas.openxmlformats.org/officeDocument/2006/relationships/hyperlink" Target="mailto:jonathan.evans@brandonhill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7835</Words>
  <Characters>44661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Fuad Sillem</dc:creator>
  <dc:description/>
  <cp:lastModifiedBy>Fuad Sillem</cp:lastModifiedBy>
  <cp:revision>3</cp:revision>
  <dcterms:created xsi:type="dcterms:W3CDTF">2021-05-28T11:07:00Z</dcterms:created>
  <dcterms:modified xsi:type="dcterms:W3CDTF">2021-05-28T11:19:00Z</dcterms:modified>
</cp:coreProperties>
</file>