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0E0ADB" w:rsidR="0C6F54EC" w:rsidP="42F279D8" w:rsidRDefault="0C6F54EC" w14:paraId="4792C39C" wp14:textId="77777777">
      <w:pPr>
        <w:spacing w:line="240" w:lineRule="atLeast"/>
        <w:jc w:val="center"/>
        <w:rPr>
          <w:rFonts w:ascii="Arial" w:hAnsi="Arial" w:eastAsia="Arial" w:cs="Arial"/>
          <w:b/>
          <w:bCs/>
          <w:lang w:val="en-GB"/>
        </w:rPr>
      </w:pPr>
      <w:r w:rsidRPr="000E0ADB">
        <w:rPr>
          <w:b/>
          <w:bCs/>
        </w:rPr>
        <w:t>LETTER FROM THE CHAIRMAN</w:t>
      </w:r>
    </w:p>
    <w:p xmlns:wp14="http://schemas.microsoft.com/office/word/2010/wordml" w:rsidR="00FA6A31" w:rsidP="00FA6A31" w:rsidRDefault="00FA6A31" w14:paraId="68F4C702" wp14:textId="77777777">
      <w:pPr>
        <w:ind w:left="107"/>
        <w:jc w:val="center"/>
        <w:rPr>
          <w:rFonts w:ascii="Arial" w:hAnsi="Arial" w:eastAsia="Arial" w:cs="Arial"/>
          <w:sz w:val="44"/>
          <w:szCs w:val="44"/>
        </w:rPr>
      </w:pPr>
      <w:bookmarkStart w:name="_Hlk44318293" w:id="0"/>
      <w:r w:rsidRPr="42F279D8">
        <w:rPr>
          <w:rFonts w:ascii="Arial" w:hAnsi="Arial" w:eastAsia="Arial" w:cs="Arial"/>
          <w:b/>
          <w:bCs/>
          <w:sz w:val="44"/>
          <w:szCs w:val="44"/>
          <w:lang w:val="en-GB"/>
        </w:rPr>
        <w:t xml:space="preserve">Mining, Mineral &amp; Metals PLC </w:t>
      </w:r>
    </w:p>
    <w:p xmlns:wp14="http://schemas.microsoft.com/office/word/2010/wordml" w:rsidR="00FA6A31" w:rsidP="00FA6A31" w:rsidRDefault="00FA6A31" w14:paraId="4AD71D0A" wp14:textId="77777777">
      <w:pPr>
        <w:spacing w:line="240" w:lineRule="atLeast"/>
        <w:jc w:val="center"/>
        <w:rPr>
          <w:rFonts w:ascii="Arial" w:hAnsi="Arial" w:eastAsia="Arial" w:cs="Arial"/>
          <w:sz w:val="18"/>
          <w:szCs w:val="18"/>
        </w:rPr>
      </w:pPr>
      <w:r w:rsidRPr="42F279D8">
        <w:rPr>
          <w:rFonts w:ascii="Arial" w:hAnsi="Arial" w:eastAsia="Arial" w:cs="Arial"/>
          <w:i/>
          <w:iCs/>
          <w:sz w:val="18"/>
          <w:szCs w:val="18"/>
          <w:lang w:val="en-GB"/>
        </w:rPr>
        <w:t>(</w:t>
      </w:r>
      <w:r w:rsidRPr="42F279D8">
        <w:rPr>
          <w:rFonts w:ascii="Arial" w:hAnsi="Arial" w:eastAsia="Arial" w:cs="Arial"/>
          <w:sz w:val="18"/>
          <w:szCs w:val="18"/>
          <w:lang w:val="en-GB"/>
        </w:rPr>
        <w:t>Incorporated in England and Wales under the Companies Act 2006 with Registered Number 08377465)</w:t>
      </w:r>
    </w:p>
    <w:bookmarkEnd w:id="0"/>
    <w:p xmlns:wp14="http://schemas.microsoft.com/office/word/2010/wordml" w:rsidR="0C6F54EC" w:rsidP="42F279D8" w:rsidRDefault="0C6F54EC" w14:paraId="6A5B43F5" wp14:textId="77777777">
      <w:pPr>
        <w:spacing w:line="240" w:lineRule="atLeast"/>
        <w:jc w:val="center"/>
        <w:rPr>
          <w:rFonts w:ascii="Arial" w:hAnsi="Arial" w:eastAsia="Arial" w:cs="Arial"/>
          <w:b/>
          <w:bCs/>
          <w:i/>
          <w:iCs/>
          <w:sz w:val="18"/>
          <w:szCs w:val="18"/>
          <w:lang w:val="en-GB"/>
        </w:rPr>
      </w:pPr>
      <w:r w:rsidRPr="42F279D8">
        <w:rPr>
          <w:rFonts w:ascii="Arial" w:hAnsi="Arial" w:eastAsia="Arial" w:cs="Arial"/>
          <w:b/>
          <w:bCs/>
          <w:i/>
          <w:iCs/>
          <w:sz w:val="18"/>
          <w:szCs w:val="18"/>
          <w:lang w:val="en-GB"/>
        </w:rPr>
        <w:t xml:space="preserve">(the </w:t>
      </w:r>
      <w:r w:rsidRPr="42F279D8" w:rsidR="17BE26B4">
        <w:rPr>
          <w:rFonts w:ascii="Arial" w:hAnsi="Arial" w:eastAsia="Arial" w:cs="Arial"/>
          <w:b/>
          <w:bCs/>
          <w:i/>
          <w:iCs/>
          <w:sz w:val="18"/>
          <w:szCs w:val="18"/>
          <w:lang w:val="en-GB"/>
        </w:rPr>
        <w:t>“</w:t>
      </w:r>
      <w:r w:rsidRPr="42F279D8">
        <w:rPr>
          <w:rFonts w:ascii="Arial" w:hAnsi="Arial" w:eastAsia="Arial" w:cs="Arial"/>
          <w:b/>
          <w:bCs/>
          <w:i/>
          <w:iCs/>
          <w:sz w:val="18"/>
          <w:szCs w:val="18"/>
          <w:lang w:val="en-GB"/>
        </w:rPr>
        <w:t>Company”)</w:t>
      </w:r>
    </w:p>
    <w:p xmlns:wp14="http://schemas.microsoft.com/office/word/2010/wordml" w:rsidR="42F279D8" w:rsidP="42F279D8" w:rsidRDefault="42F279D8" w14:paraId="672A6659" wp14:textId="77777777">
      <w:pPr>
        <w:spacing w:line="240" w:lineRule="atLeast"/>
        <w:jc w:val="center"/>
        <w:rPr>
          <w:rFonts w:ascii="Arial" w:hAnsi="Arial" w:eastAsia="Arial" w:cs="Arial"/>
          <w:lang w:val="en-GB"/>
        </w:rPr>
      </w:pPr>
    </w:p>
    <w:tbl>
      <w:tblPr>
        <w:tblW w:w="9461" w:type="dxa"/>
        <w:tblLayout w:type="fixed"/>
        <w:tblLook w:val="0000" w:firstRow="0" w:lastRow="0" w:firstColumn="0" w:lastColumn="0" w:noHBand="0" w:noVBand="0"/>
      </w:tblPr>
      <w:tblGrid>
        <w:gridCol w:w="4545"/>
        <w:gridCol w:w="275"/>
        <w:gridCol w:w="2301"/>
        <w:gridCol w:w="2093"/>
        <w:gridCol w:w="247"/>
      </w:tblGrid>
      <w:tr xmlns:wp14="http://schemas.microsoft.com/office/word/2010/wordml" w:rsidRPr="00F66EC9" w:rsidR="00FA6A31" w:rsidTr="00FA6A31" w14:paraId="195FB65F" wp14:textId="77777777">
        <w:tc>
          <w:tcPr>
            <w:tcW w:w="4545" w:type="dxa"/>
          </w:tcPr>
          <w:p w:rsidR="00FA6A31" w:rsidP="00024965" w:rsidRDefault="00024965" w14:paraId="11DDF263" wp14:textId="77777777">
            <w:pPr>
              <w:spacing w:after="0" w:line="240" w:lineRule="atLeast"/>
              <w:rPr>
                <w:rFonts w:ascii="Arial" w:hAnsi="Arial" w:eastAsia="Arial" w:cs="Arial"/>
              </w:rPr>
            </w:pPr>
            <w:r w:rsidRPr="42F279D8">
              <w:rPr>
                <w:rFonts w:ascii="Arial" w:hAnsi="Arial" w:eastAsia="Arial" w:cs="Arial"/>
                <w:b/>
                <w:bCs/>
                <w:i/>
                <w:iCs/>
                <w:sz w:val="20"/>
                <w:szCs w:val="20"/>
                <w:lang w:val="en-GB"/>
              </w:rPr>
              <w:t xml:space="preserve">Registered Office: </w:t>
            </w:r>
          </w:p>
        </w:tc>
        <w:tc>
          <w:tcPr>
            <w:tcW w:w="275" w:type="dxa"/>
          </w:tcPr>
          <w:p w:rsidRPr="00F66EC9" w:rsidR="00FA6A31" w:rsidP="00FA6A31" w:rsidRDefault="00FA6A31" w14:paraId="0A37501D" wp14:textId="77777777"/>
        </w:tc>
        <w:tc>
          <w:tcPr>
            <w:tcW w:w="2301" w:type="dxa"/>
          </w:tcPr>
          <w:p w:rsidRPr="00024965" w:rsidR="00FA6A31" w:rsidP="00FA6A31" w:rsidRDefault="00FA6A31" w14:paraId="204A6CE0" wp14:textId="77777777">
            <w:pPr>
              <w:spacing w:line="240" w:lineRule="atLeast"/>
              <w:rPr>
                <w:rFonts w:ascii="Arial" w:hAnsi="Arial" w:eastAsia="Arial" w:cs="Arial"/>
                <w:sz w:val="20"/>
                <w:szCs w:val="20"/>
              </w:rPr>
            </w:pPr>
            <w:r w:rsidRPr="00024965">
              <w:rPr>
                <w:rFonts w:ascii="Arial" w:hAnsi="Arial" w:eastAsia="Arial" w:cs="Arial"/>
                <w:b/>
                <w:bCs/>
                <w:i/>
                <w:iCs/>
                <w:sz w:val="20"/>
                <w:szCs w:val="20"/>
                <w:lang w:val="en-GB"/>
              </w:rPr>
              <w:t>Directors:</w:t>
            </w:r>
          </w:p>
        </w:tc>
        <w:tc>
          <w:tcPr>
            <w:tcW w:w="2340" w:type="dxa"/>
            <w:gridSpan w:val="2"/>
          </w:tcPr>
          <w:p w:rsidRPr="00F66EC9" w:rsidR="00FA6A31" w:rsidP="00FA6A31" w:rsidRDefault="00FA6A31" w14:paraId="5DAB6C7B" wp14:textId="77777777">
            <w:pPr>
              <w:rPr>
                <w:sz w:val="20"/>
                <w:szCs w:val="20"/>
              </w:rPr>
            </w:pPr>
          </w:p>
        </w:tc>
      </w:tr>
      <w:tr xmlns:wp14="http://schemas.microsoft.com/office/word/2010/wordml" w:rsidRPr="00F66EC9" w:rsidR="00FA6A31" w:rsidTr="00FA6A31" w14:paraId="5EABAC81" wp14:textId="77777777">
        <w:tc>
          <w:tcPr>
            <w:tcW w:w="4545" w:type="dxa"/>
          </w:tcPr>
          <w:p w:rsidR="00FA6A31" w:rsidP="00FA6A31" w:rsidRDefault="00FA6A31" w14:paraId="5861C6D3" wp14:textId="77777777">
            <w:pPr>
              <w:spacing w:after="0" w:line="240" w:lineRule="atLeast"/>
              <w:rPr>
                <w:rFonts w:ascii="Arial" w:hAnsi="Arial" w:eastAsia="Arial" w:cs="Arial"/>
                <w:sz w:val="20"/>
                <w:szCs w:val="20"/>
                <w:lang w:val="en-GB"/>
              </w:rPr>
            </w:pPr>
            <w:r w:rsidRPr="42F279D8">
              <w:rPr>
                <w:rFonts w:ascii="Arial" w:hAnsi="Arial" w:eastAsia="Arial" w:cs="Arial"/>
                <w:sz w:val="20"/>
                <w:szCs w:val="20"/>
                <w:lang w:val="en-GB"/>
              </w:rPr>
              <w:t xml:space="preserve">New Liverpool House </w:t>
            </w:r>
          </w:p>
          <w:p w:rsidR="00FA6A31" w:rsidP="00FA6A31" w:rsidRDefault="00FA6A31" w14:paraId="53B5BBDB" wp14:textId="77777777">
            <w:pPr>
              <w:spacing w:after="0" w:line="240" w:lineRule="atLeast"/>
              <w:rPr>
                <w:rFonts w:ascii="Arial" w:hAnsi="Arial" w:eastAsia="Arial" w:cs="Arial"/>
                <w:sz w:val="20"/>
                <w:szCs w:val="20"/>
                <w:lang w:val="en-GB"/>
              </w:rPr>
            </w:pPr>
            <w:r w:rsidRPr="42F279D8">
              <w:rPr>
                <w:rFonts w:ascii="Arial" w:hAnsi="Arial" w:eastAsia="Arial" w:cs="Arial"/>
                <w:sz w:val="20"/>
                <w:szCs w:val="20"/>
                <w:lang w:val="en-GB"/>
              </w:rPr>
              <w:t>15-17 Eldon Street</w:t>
            </w:r>
          </w:p>
          <w:p w:rsidR="00FA6A31" w:rsidP="00FA6A31" w:rsidRDefault="00FA6A31" w14:paraId="7F81FD33" wp14:textId="77777777">
            <w:pPr>
              <w:spacing w:after="0" w:line="240" w:lineRule="atLeast"/>
              <w:rPr>
                <w:rFonts w:ascii="Arial" w:hAnsi="Arial" w:eastAsia="Arial" w:cs="Arial"/>
                <w:sz w:val="20"/>
                <w:szCs w:val="20"/>
                <w:lang w:val="en-GB"/>
              </w:rPr>
            </w:pPr>
            <w:r w:rsidRPr="42F279D8">
              <w:rPr>
                <w:rFonts w:ascii="Arial" w:hAnsi="Arial" w:eastAsia="Arial" w:cs="Arial"/>
                <w:sz w:val="20"/>
                <w:szCs w:val="20"/>
                <w:lang w:val="en-GB"/>
              </w:rPr>
              <w:t xml:space="preserve">London </w:t>
            </w:r>
          </w:p>
          <w:p w:rsidR="00FA6A31" w:rsidP="00FA6A31" w:rsidRDefault="00FA6A31" w14:paraId="16B7E26B" wp14:textId="77777777">
            <w:pPr>
              <w:spacing w:after="0" w:line="240" w:lineRule="atLeast"/>
              <w:rPr>
                <w:rFonts w:ascii="Arial" w:hAnsi="Arial" w:eastAsia="Arial" w:cs="Arial"/>
                <w:sz w:val="20"/>
                <w:szCs w:val="20"/>
                <w:lang w:val="en-GB"/>
              </w:rPr>
            </w:pPr>
            <w:r w:rsidRPr="42F279D8">
              <w:rPr>
                <w:rFonts w:ascii="Arial" w:hAnsi="Arial" w:eastAsia="Arial" w:cs="Arial"/>
                <w:sz w:val="20"/>
                <w:szCs w:val="20"/>
                <w:lang w:val="en-GB"/>
              </w:rPr>
              <w:t>EC2M 7LD</w:t>
            </w:r>
          </w:p>
          <w:p w:rsidR="00FA6A31" w:rsidP="00FA6A31" w:rsidRDefault="00FA6A31" w14:paraId="02EB378F" wp14:textId="77777777">
            <w:pPr>
              <w:spacing w:after="0" w:line="240" w:lineRule="atLeast"/>
              <w:rPr>
                <w:rFonts w:ascii="Arial" w:hAnsi="Arial" w:eastAsia="Arial" w:cs="Arial"/>
                <w:sz w:val="20"/>
                <w:szCs w:val="20"/>
              </w:rPr>
            </w:pPr>
          </w:p>
          <w:p w:rsidR="00FA6A31" w:rsidP="00FA6A31" w:rsidRDefault="00FA6A31" w14:paraId="6A05A809" wp14:textId="77777777">
            <w:pPr>
              <w:spacing w:after="0" w:line="240" w:lineRule="atLeast"/>
              <w:rPr>
                <w:rFonts w:ascii="Arial" w:hAnsi="Arial" w:eastAsia="Arial" w:cs="Arial"/>
                <w:sz w:val="20"/>
                <w:szCs w:val="20"/>
                <w:lang w:val="en-GB"/>
              </w:rPr>
            </w:pPr>
          </w:p>
        </w:tc>
        <w:tc>
          <w:tcPr>
            <w:tcW w:w="275" w:type="dxa"/>
          </w:tcPr>
          <w:p w:rsidRPr="00F66EC9" w:rsidR="00FA6A31" w:rsidP="00FA6A31" w:rsidRDefault="00FA6A31" w14:paraId="5A39BBE3" wp14:textId="77777777">
            <w:pPr>
              <w:spacing w:after="0"/>
            </w:pPr>
          </w:p>
        </w:tc>
        <w:tc>
          <w:tcPr>
            <w:tcW w:w="4394" w:type="dxa"/>
            <w:gridSpan w:val="2"/>
          </w:tcPr>
          <w:p w:rsidRPr="00024965" w:rsidR="00FA6A31" w:rsidP="00FA6A31" w:rsidRDefault="00FA6A31" w14:paraId="1F798552" wp14:textId="77777777">
            <w:pPr>
              <w:spacing w:after="0" w:line="240" w:lineRule="atLeast"/>
              <w:rPr>
                <w:rFonts w:ascii="Arial" w:hAnsi="Arial" w:eastAsia="Arial" w:cs="Arial"/>
                <w:sz w:val="20"/>
                <w:szCs w:val="20"/>
                <w:lang w:val="en-GB"/>
              </w:rPr>
            </w:pPr>
            <w:r w:rsidRPr="00024965">
              <w:rPr>
                <w:rFonts w:ascii="Arial" w:hAnsi="Arial" w:eastAsia="Arial" w:cs="Arial"/>
                <w:sz w:val="20"/>
                <w:szCs w:val="20"/>
                <w:lang w:val="en-GB"/>
              </w:rPr>
              <w:t>Matt Bonner (Non-Executive Chairman)</w:t>
            </w:r>
          </w:p>
          <w:p w:rsidRPr="00024965" w:rsidR="00FA6A31" w:rsidP="00FA6A31" w:rsidRDefault="00FA6A31" w14:paraId="28ACD730" wp14:textId="77777777">
            <w:pPr>
              <w:spacing w:after="0" w:line="240" w:lineRule="atLeast"/>
              <w:rPr>
                <w:rFonts w:ascii="Arial" w:hAnsi="Arial" w:eastAsia="Arial" w:cs="Arial"/>
                <w:sz w:val="20"/>
                <w:szCs w:val="20"/>
                <w:lang w:val="en-GB"/>
              </w:rPr>
            </w:pPr>
            <w:r w:rsidRPr="00024965">
              <w:rPr>
                <w:rFonts w:ascii="Arial" w:hAnsi="Arial" w:eastAsia="Arial" w:cs="Arial"/>
                <w:sz w:val="20"/>
                <w:szCs w:val="20"/>
                <w:lang w:val="en-GB"/>
              </w:rPr>
              <w:t>Roy Aubrey Pitchford (Non-Executive Director)</w:t>
            </w:r>
          </w:p>
          <w:p w:rsidRPr="00024965" w:rsidR="00FA6A31" w:rsidP="00FA6A31" w:rsidRDefault="00FA6A31" w14:paraId="39299E67" wp14:textId="77777777">
            <w:pPr>
              <w:spacing w:after="0" w:line="240" w:lineRule="atLeast"/>
              <w:rPr>
                <w:rFonts w:ascii="Arial" w:hAnsi="Arial" w:eastAsia="Arial" w:cs="Arial"/>
                <w:sz w:val="20"/>
                <w:szCs w:val="20"/>
                <w:lang w:val="en-GB"/>
              </w:rPr>
            </w:pPr>
            <w:r w:rsidRPr="00024965">
              <w:rPr>
                <w:rFonts w:ascii="Arial" w:hAnsi="Arial" w:eastAsia="Arial" w:cs="Arial"/>
                <w:sz w:val="20"/>
                <w:szCs w:val="20"/>
                <w:lang w:val="en-GB"/>
              </w:rPr>
              <w:t>Kay Asare-Bediako (Non-Executive Director)</w:t>
            </w:r>
          </w:p>
          <w:p w:rsidRPr="00024965" w:rsidR="00FA6A31" w:rsidP="00FA6A31" w:rsidRDefault="00FA6A31" w14:paraId="1DB193E6" wp14:textId="77777777">
            <w:pPr>
              <w:spacing w:after="0" w:line="240" w:lineRule="atLeast"/>
              <w:rPr>
                <w:rFonts w:ascii="Arial" w:hAnsi="Arial" w:eastAsia="Arial" w:cs="Arial"/>
                <w:sz w:val="20"/>
                <w:szCs w:val="20"/>
                <w:lang w:val="en-GB"/>
              </w:rPr>
            </w:pPr>
            <w:r w:rsidRPr="00024965">
              <w:rPr>
                <w:rFonts w:ascii="Arial" w:hAnsi="Arial" w:eastAsia="Arial" w:cs="Arial"/>
                <w:sz w:val="20"/>
                <w:szCs w:val="20"/>
                <w:lang w:val="en-GB"/>
              </w:rPr>
              <w:t>Mametja Moshe (Non-Executive Director)</w:t>
            </w:r>
          </w:p>
          <w:p w:rsidRPr="00024965" w:rsidR="00FA6A31" w:rsidP="00FA6A31" w:rsidRDefault="00FA6A31" w14:paraId="7679E16D" wp14:textId="77777777">
            <w:pPr>
              <w:spacing w:after="0" w:line="240" w:lineRule="atLeast"/>
              <w:rPr>
                <w:rFonts w:ascii="Arial" w:hAnsi="Arial" w:eastAsia="Arial" w:cs="Arial"/>
                <w:sz w:val="20"/>
                <w:szCs w:val="20"/>
                <w:lang w:val="en-GB"/>
              </w:rPr>
            </w:pPr>
            <w:r w:rsidRPr="00024965">
              <w:rPr>
                <w:rFonts w:ascii="Arial" w:hAnsi="Arial" w:eastAsia="Arial" w:cs="Arial"/>
                <w:sz w:val="20"/>
                <w:szCs w:val="20"/>
                <w:lang w:val="en-GB"/>
              </w:rPr>
              <w:t>Paul Ryan Welker (Non-Executive Director)</w:t>
            </w:r>
          </w:p>
          <w:p w:rsidR="00FA6A31" w:rsidP="00FA6A31" w:rsidRDefault="00FA6A31" w14:paraId="186D3D14" wp14:textId="77777777">
            <w:pPr>
              <w:spacing w:after="0" w:line="240" w:lineRule="atLeast"/>
              <w:rPr>
                <w:rFonts w:ascii="Arial" w:hAnsi="Arial" w:eastAsia="Arial" w:cs="Arial"/>
                <w:sz w:val="20"/>
                <w:szCs w:val="20"/>
                <w:lang w:val="en-GB"/>
              </w:rPr>
            </w:pPr>
            <w:r w:rsidRPr="00024965">
              <w:rPr>
                <w:rFonts w:ascii="Arial" w:hAnsi="Arial" w:eastAsia="Arial" w:cs="Arial"/>
                <w:sz w:val="20"/>
                <w:szCs w:val="20"/>
                <w:lang w:val="en-GB"/>
              </w:rPr>
              <w:t>Andrew Monk (Non-Executive Director)</w:t>
            </w:r>
          </w:p>
          <w:p w:rsidRPr="00024965" w:rsidR="004370A7" w:rsidP="00FA6A31" w:rsidRDefault="004370A7" w14:paraId="1506E55E" wp14:textId="77777777">
            <w:pPr>
              <w:spacing w:after="0" w:line="240" w:lineRule="atLeast"/>
              <w:rPr>
                <w:rFonts w:ascii="Arial" w:hAnsi="Arial" w:eastAsia="Arial" w:cs="Arial"/>
                <w:sz w:val="20"/>
                <w:szCs w:val="20"/>
                <w:lang w:val="en-GB"/>
              </w:rPr>
            </w:pPr>
            <w:r>
              <w:rPr>
                <w:rFonts w:ascii="Arial" w:hAnsi="Arial" w:eastAsia="Arial" w:cs="Arial"/>
                <w:sz w:val="20"/>
                <w:szCs w:val="20"/>
                <w:lang w:val="en-GB"/>
              </w:rPr>
              <w:t>Mike Stewart (</w:t>
            </w:r>
            <w:r w:rsidRPr="00024965">
              <w:rPr>
                <w:rFonts w:ascii="Arial" w:hAnsi="Arial" w:eastAsia="Arial" w:cs="Arial"/>
                <w:sz w:val="20"/>
                <w:szCs w:val="20"/>
                <w:lang w:val="en-GB"/>
              </w:rPr>
              <w:t>Non-Executive Director)</w:t>
            </w:r>
          </w:p>
          <w:p w:rsidRPr="00F66EC9" w:rsidR="00FA6A31" w:rsidP="00FA6A31" w:rsidRDefault="00FA6A31" w14:paraId="41C8F396" wp14:textId="77777777">
            <w:pPr>
              <w:spacing w:after="0"/>
              <w:rPr>
                <w:sz w:val="20"/>
                <w:szCs w:val="20"/>
              </w:rPr>
            </w:pPr>
          </w:p>
        </w:tc>
        <w:tc>
          <w:tcPr>
            <w:tcW w:w="247" w:type="dxa"/>
          </w:tcPr>
          <w:p w:rsidR="00FA6A31" w:rsidP="00FA6A31" w:rsidRDefault="00FA6A31" w14:paraId="72A3D3EC" wp14:textId="77777777">
            <w:pPr>
              <w:spacing w:after="0" w:line="240" w:lineRule="atLeast"/>
              <w:jc w:val="right"/>
              <w:rPr>
                <w:rFonts w:ascii="Arial" w:hAnsi="Arial" w:eastAsia="Arial" w:cs="Arial"/>
              </w:rPr>
            </w:pPr>
          </w:p>
        </w:tc>
      </w:tr>
      <w:tr xmlns:wp14="http://schemas.microsoft.com/office/word/2010/wordml" w:rsidRPr="00F66EC9" w:rsidR="00FA6A31" w:rsidTr="00FA6A31" w14:paraId="0D0B940D" wp14:textId="77777777">
        <w:tc>
          <w:tcPr>
            <w:tcW w:w="4545" w:type="dxa"/>
          </w:tcPr>
          <w:p w:rsidR="00FA6A31" w:rsidP="00FA6A31" w:rsidRDefault="00FA6A31" w14:paraId="0E27B00A" wp14:textId="77777777">
            <w:pPr>
              <w:spacing w:after="0" w:line="240" w:lineRule="atLeast"/>
              <w:rPr>
                <w:rFonts w:ascii="Arial" w:hAnsi="Arial" w:eastAsia="Arial" w:cs="Arial"/>
                <w:sz w:val="20"/>
                <w:szCs w:val="20"/>
              </w:rPr>
            </w:pPr>
          </w:p>
        </w:tc>
        <w:tc>
          <w:tcPr>
            <w:tcW w:w="275" w:type="dxa"/>
          </w:tcPr>
          <w:p w:rsidR="00FA6A31" w:rsidP="00FA6A31" w:rsidRDefault="00FA6A31" w14:paraId="60061E4C" wp14:textId="77777777">
            <w:pPr>
              <w:spacing w:after="0" w:line="240" w:lineRule="atLeast"/>
              <w:jc w:val="right"/>
              <w:rPr>
                <w:rFonts w:ascii="Arial" w:hAnsi="Arial" w:eastAsia="Arial" w:cs="Arial"/>
              </w:rPr>
            </w:pPr>
          </w:p>
        </w:tc>
        <w:tc>
          <w:tcPr>
            <w:tcW w:w="2301" w:type="dxa"/>
          </w:tcPr>
          <w:p w:rsidRPr="00F66EC9" w:rsidR="00FA6A31" w:rsidP="00FA6A31" w:rsidRDefault="00FA6A31" w14:paraId="44EAFD9C" wp14:textId="77777777">
            <w:pPr>
              <w:spacing w:after="0"/>
            </w:pPr>
          </w:p>
        </w:tc>
        <w:tc>
          <w:tcPr>
            <w:tcW w:w="2340" w:type="dxa"/>
            <w:gridSpan w:val="2"/>
          </w:tcPr>
          <w:p w:rsidRPr="00F66EC9" w:rsidR="00FA6A31" w:rsidP="00FA6A31" w:rsidRDefault="00FA6A31" w14:paraId="4B94D5A5" wp14:textId="77777777">
            <w:pPr>
              <w:spacing w:after="0"/>
            </w:pPr>
          </w:p>
        </w:tc>
      </w:tr>
      <w:tr xmlns:wp14="http://schemas.microsoft.com/office/word/2010/wordml" w:rsidRPr="00F66EC9" w:rsidR="00FA6A31" w:rsidTr="00FA6A31" w14:paraId="3DEEC669" wp14:textId="77777777">
        <w:tc>
          <w:tcPr>
            <w:tcW w:w="4545" w:type="dxa"/>
          </w:tcPr>
          <w:p w:rsidRPr="00F66EC9" w:rsidR="00FA6A31" w:rsidP="00FA6A31" w:rsidRDefault="00FA6A31" w14:paraId="3656B9AB" wp14:textId="77777777"/>
        </w:tc>
        <w:tc>
          <w:tcPr>
            <w:tcW w:w="275" w:type="dxa"/>
          </w:tcPr>
          <w:p w:rsidR="00FA6A31" w:rsidP="00FA6A31" w:rsidRDefault="00FA6A31" w14:paraId="45FB0818" wp14:textId="77777777">
            <w:pPr>
              <w:spacing w:line="240" w:lineRule="atLeast"/>
              <w:jc w:val="right"/>
              <w:rPr>
                <w:rFonts w:ascii="Arial" w:hAnsi="Arial" w:eastAsia="Arial" w:cs="Arial"/>
              </w:rPr>
            </w:pPr>
          </w:p>
        </w:tc>
        <w:tc>
          <w:tcPr>
            <w:tcW w:w="2301" w:type="dxa"/>
          </w:tcPr>
          <w:p w:rsidRPr="00F66EC9" w:rsidR="00FA6A31" w:rsidP="00FA6A31" w:rsidRDefault="00FA6A31" w14:paraId="049F31CB" wp14:textId="77777777"/>
        </w:tc>
        <w:tc>
          <w:tcPr>
            <w:tcW w:w="2340" w:type="dxa"/>
            <w:gridSpan w:val="2"/>
          </w:tcPr>
          <w:p w:rsidRPr="00F66EC9" w:rsidR="00FA6A31" w:rsidP="00FA6A31" w:rsidRDefault="00FA6A31" w14:paraId="53128261" wp14:textId="77777777"/>
        </w:tc>
      </w:tr>
    </w:tbl>
    <w:p xmlns:wp14="http://schemas.microsoft.com/office/word/2010/wordml" w:rsidRPr="00FA6A31" w:rsidR="1251BB7A" w:rsidP="42F279D8" w:rsidRDefault="1251BB7A" w14:paraId="4FE08C94" wp14:textId="38455C45">
      <w:pPr>
        <w:spacing w:line="240" w:lineRule="atLeast"/>
        <w:jc w:val="right"/>
        <w:rPr>
          <w:rFonts w:ascii="Arial" w:hAnsi="Arial" w:eastAsia="Arial" w:cs="Arial"/>
          <w:sz w:val="20"/>
          <w:szCs w:val="20"/>
          <w:lang w:val="en-GB"/>
        </w:rPr>
      </w:pPr>
      <w:r w:rsidRPr="251773A7" w:rsidR="251773A7">
        <w:rPr>
          <w:rFonts w:ascii="Arial" w:hAnsi="Arial" w:eastAsia="Arial" w:cs="Arial"/>
          <w:sz w:val="20"/>
          <w:szCs w:val="20"/>
          <w:lang w:val="en-GB"/>
        </w:rPr>
        <w:t xml:space="preserve"> 15 July 2020</w:t>
      </w:r>
    </w:p>
    <w:p xmlns:wp14="http://schemas.microsoft.com/office/word/2010/wordml" w:rsidRPr="00FA6A31" w:rsidR="0C6F54EC" w:rsidP="42F279D8" w:rsidRDefault="0C6F54EC" w14:paraId="27110A07" wp14:textId="77777777">
      <w:pPr>
        <w:spacing w:line="240" w:lineRule="atLeast"/>
        <w:jc w:val="both"/>
        <w:rPr>
          <w:rFonts w:ascii="Arial" w:hAnsi="Arial" w:eastAsia="Arial" w:cs="Arial"/>
          <w:sz w:val="20"/>
          <w:szCs w:val="20"/>
          <w:lang w:val="en-GB"/>
        </w:rPr>
      </w:pPr>
      <w:r w:rsidRPr="00FA6A31">
        <w:rPr>
          <w:rFonts w:ascii="Arial" w:hAnsi="Arial" w:eastAsia="Arial" w:cs="Arial"/>
          <w:sz w:val="20"/>
          <w:szCs w:val="20"/>
          <w:lang w:val="en-GB"/>
        </w:rPr>
        <w:t>Dear Shareholder</w:t>
      </w:r>
      <w:r w:rsidR="009564F0">
        <w:rPr>
          <w:rFonts w:ascii="Arial" w:hAnsi="Arial" w:eastAsia="Arial" w:cs="Arial"/>
          <w:sz w:val="20"/>
          <w:szCs w:val="20"/>
          <w:lang w:val="en-GB"/>
        </w:rPr>
        <w:t>,</w:t>
      </w:r>
    </w:p>
    <w:p xmlns:wp14="http://schemas.microsoft.com/office/word/2010/wordml" w:rsidRPr="00FA6A31" w:rsidR="004126FD" w:rsidP="004126FD" w:rsidRDefault="004126FD" w14:paraId="2529FDF8" wp14:textId="77777777">
      <w:pPr>
        <w:spacing w:line="240" w:lineRule="atLeast"/>
        <w:jc w:val="both"/>
        <w:rPr>
          <w:rFonts w:ascii="Arial" w:hAnsi="Arial" w:eastAsia="Arial" w:cs="Arial"/>
          <w:sz w:val="20"/>
          <w:szCs w:val="20"/>
          <w:lang w:val="en-GB"/>
        </w:rPr>
      </w:pPr>
      <w:r w:rsidRPr="00FA6A31">
        <w:rPr>
          <w:rFonts w:ascii="Arial" w:hAnsi="Arial" w:eastAsia="Arial" w:cs="Arial"/>
          <w:sz w:val="20"/>
          <w:szCs w:val="20"/>
          <w:lang w:val="en-GB"/>
        </w:rPr>
        <w:t>I am writing to advise you that Annual General Meeting (“</w:t>
      </w:r>
      <w:r w:rsidRPr="00FA6A31">
        <w:rPr>
          <w:rFonts w:ascii="Arial" w:hAnsi="Arial" w:eastAsia="Arial" w:cs="Arial"/>
          <w:b/>
          <w:bCs/>
          <w:sz w:val="20"/>
          <w:szCs w:val="20"/>
          <w:lang w:val="en-GB"/>
        </w:rPr>
        <w:t>AGM</w:t>
      </w:r>
      <w:r w:rsidRPr="00FA6A31">
        <w:rPr>
          <w:rFonts w:ascii="Arial" w:hAnsi="Arial" w:eastAsia="Arial" w:cs="Arial"/>
          <w:sz w:val="20"/>
          <w:szCs w:val="20"/>
          <w:lang w:val="en-GB"/>
        </w:rPr>
        <w:t xml:space="preserve">”) of the Company will be held at 10:00 a.m. on </w:t>
      </w:r>
      <w:r>
        <w:rPr>
          <w:rFonts w:ascii="Arial" w:hAnsi="Arial" w:eastAsia="Arial" w:cs="Arial"/>
          <w:sz w:val="20"/>
          <w:szCs w:val="20"/>
          <w:lang w:val="en-GB"/>
        </w:rPr>
        <w:t>10 August</w:t>
      </w:r>
      <w:r w:rsidRPr="00FA6A31">
        <w:rPr>
          <w:rFonts w:ascii="Arial" w:hAnsi="Arial" w:eastAsia="Arial" w:cs="Arial"/>
          <w:sz w:val="20"/>
          <w:szCs w:val="20"/>
          <w:lang w:val="en-GB"/>
        </w:rPr>
        <w:t xml:space="preserve"> 2020 at the </w:t>
      </w:r>
      <w:r>
        <w:rPr>
          <w:rFonts w:ascii="Arial" w:hAnsi="Arial" w:eastAsia="Arial" w:cs="Arial"/>
          <w:sz w:val="20"/>
          <w:szCs w:val="20"/>
          <w:lang w:val="en-GB"/>
        </w:rPr>
        <w:t xml:space="preserve">Company’s registered </w:t>
      </w:r>
      <w:r w:rsidRPr="00FA6A31">
        <w:rPr>
          <w:rFonts w:ascii="Arial" w:hAnsi="Arial" w:eastAsia="Arial" w:cs="Arial"/>
          <w:sz w:val="20"/>
          <w:szCs w:val="20"/>
          <w:lang w:val="en-GB"/>
        </w:rPr>
        <w:t>office, New Liverpool House, 15-17 Eldon Street, London EC2M 7LD, United Kingdom.</w:t>
      </w:r>
    </w:p>
    <w:p xmlns:wp14="http://schemas.microsoft.com/office/word/2010/wordml" w:rsidRPr="00FA6A31" w:rsidR="004126FD" w:rsidP="004126FD" w:rsidRDefault="004126FD" w14:paraId="30DAADFE" wp14:textId="77777777">
      <w:pPr>
        <w:spacing w:line="240" w:lineRule="atLeast"/>
        <w:jc w:val="both"/>
        <w:rPr>
          <w:rFonts w:ascii="Arial" w:hAnsi="Arial" w:eastAsia="Arial" w:cs="Arial"/>
          <w:sz w:val="20"/>
          <w:szCs w:val="20"/>
          <w:lang w:val="en-GB"/>
        </w:rPr>
      </w:pPr>
      <w:r w:rsidRPr="00FA6A31">
        <w:rPr>
          <w:rFonts w:ascii="Arial" w:hAnsi="Arial" w:eastAsia="Arial" w:cs="Arial"/>
          <w:sz w:val="20"/>
          <w:szCs w:val="20"/>
          <w:lang w:val="en-GB"/>
        </w:rPr>
        <w:t xml:space="preserve">The Notice of the Annual General Meeting is contained in pages </w:t>
      </w:r>
      <w:r>
        <w:rPr>
          <w:rFonts w:ascii="Arial" w:hAnsi="Arial" w:eastAsia="Arial" w:cs="Arial"/>
          <w:sz w:val="20"/>
          <w:szCs w:val="20"/>
          <w:lang w:val="en-GB"/>
        </w:rPr>
        <w:t>2</w:t>
      </w:r>
      <w:r w:rsidRPr="00FA6A31">
        <w:rPr>
          <w:rFonts w:ascii="Arial" w:hAnsi="Arial" w:eastAsia="Arial" w:cs="Arial"/>
          <w:sz w:val="20"/>
          <w:szCs w:val="20"/>
          <w:lang w:val="en-GB"/>
        </w:rPr>
        <w:t xml:space="preserve"> to </w:t>
      </w:r>
      <w:r>
        <w:rPr>
          <w:rFonts w:ascii="Arial" w:hAnsi="Arial" w:eastAsia="Arial" w:cs="Arial"/>
          <w:sz w:val="20"/>
          <w:szCs w:val="20"/>
          <w:lang w:val="en-GB"/>
        </w:rPr>
        <w:t>3</w:t>
      </w:r>
      <w:r w:rsidRPr="00FA6A31">
        <w:rPr>
          <w:rFonts w:ascii="Arial" w:hAnsi="Arial" w:eastAsia="Arial" w:cs="Arial"/>
          <w:sz w:val="20"/>
          <w:szCs w:val="20"/>
          <w:lang w:val="en-GB"/>
        </w:rPr>
        <w:t xml:space="preserve"> of this document and the Company's annual report and accounts for the </w:t>
      </w:r>
      <w:r>
        <w:rPr>
          <w:rFonts w:ascii="Arial" w:hAnsi="Arial" w:eastAsia="Arial" w:cs="Arial"/>
          <w:sz w:val="20"/>
          <w:szCs w:val="20"/>
          <w:lang w:val="en-GB"/>
        </w:rPr>
        <w:t xml:space="preserve">year ended </w:t>
      </w:r>
      <w:r w:rsidRPr="00FA6A31">
        <w:rPr>
          <w:rFonts w:ascii="Arial" w:hAnsi="Arial" w:eastAsia="Arial" w:cs="Arial"/>
          <w:sz w:val="20"/>
          <w:szCs w:val="20"/>
          <w:lang w:val="en-GB"/>
        </w:rPr>
        <w:t xml:space="preserve">31 January 2020 is available on the Documents section of the MMM website </w:t>
      </w:r>
      <w:hyperlink r:id="rId7">
        <w:r w:rsidRPr="00FA6A31">
          <w:rPr>
            <w:rStyle w:val="Hyperlink"/>
            <w:rFonts w:ascii="Arial" w:hAnsi="Arial" w:eastAsia="Arial" w:cs="Arial"/>
            <w:sz w:val="20"/>
            <w:szCs w:val="20"/>
            <w:lang w:val="en-GB"/>
          </w:rPr>
          <w:t>www.mmmplc.com</w:t>
        </w:r>
      </w:hyperlink>
      <w:r>
        <w:rPr>
          <w:rStyle w:val="Hyperlink"/>
          <w:rFonts w:ascii="Arial" w:hAnsi="Arial" w:eastAsia="Arial" w:cs="Arial"/>
          <w:sz w:val="20"/>
          <w:szCs w:val="20"/>
          <w:lang w:val="en-GB"/>
        </w:rPr>
        <w:t>.</w:t>
      </w:r>
    </w:p>
    <w:p xmlns:wp14="http://schemas.microsoft.com/office/word/2010/wordml" w:rsidRPr="00FA6A31" w:rsidR="004126FD" w:rsidP="004126FD" w:rsidRDefault="004126FD" w14:paraId="30443D5A" wp14:textId="77777777">
      <w:pPr>
        <w:spacing w:line="240" w:lineRule="atLeast"/>
        <w:jc w:val="both"/>
        <w:rPr>
          <w:rFonts w:ascii="Arial" w:hAnsi="Arial" w:eastAsia="Arial" w:cs="Arial"/>
          <w:sz w:val="20"/>
          <w:szCs w:val="20"/>
          <w:lang w:val="en-GB"/>
        </w:rPr>
      </w:pPr>
      <w:r w:rsidRPr="00FA6A31">
        <w:rPr>
          <w:rFonts w:ascii="Arial" w:hAnsi="Arial" w:eastAsia="Arial" w:cs="Arial"/>
          <w:sz w:val="20"/>
          <w:szCs w:val="20"/>
          <w:lang w:val="en-GB"/>
        </w:rPr>
        <w:t xml:space="preserve">Shareholders will find enclosed with this document a Form of Proxy for use at the AGM. </w:t>
      </w:r>
    </w:p>
    <w:p xmlns:wp14="http://schemas.microsoft.com/office/word/2010/wordml" w:rsidRPr="004370A7" w:rsidR="009564F0" w:rsidP="004370A7" w:rsidRDefault="009564F0" w14:paraId="432AF82F" wp14:textId="77777777">
      <w:pPr>
        <w:jc w:val="both"/>
        <w:outlineLvl w:val="2"/>
        <w:rPr>
          <w:rFonts w:ascii="Arial" w:hAnsi="Arial" w:cs="Arial"/>
          <w:b/>
          <w:sz w:val="20"/>
          <w:szCs w:val="20"/>
          <w:lang w:eastAsia="en-GB"/>
        </w:rPr>
      </w:pPr>
      <w:r w:rsidRPr="004370A7">
        <w:rPr>
          <w:rFonts w:ascii="Arial" w:hAnsi="Arial" w:cs="Arial"/>
          <w:b/>
          <w:sz w:val="20"/>
          <w:szCs w:val="20"/>
          <w:lang w:eastAsia="en-GB"/>
        </w:rPr>
        <w:t>As a result of COVID-19 the Company would like to advise shareholders that, in accordance with the UK Government's measures to restrict gatherings, physical attendance in person by shareholders of the Company will not be possible and the AGM will be held as a closed meeting.</w:t>
      </w:r>
    </w:p>
    <w:p xmlns:wp14="http://schemas.microsoft.com/office/word/2010/wordml" w:rsidRPr="00202B43" w:rsidR="009564F0" w:rsidP="004370A7" w:rsidRDefault="009564F0" w14:paraId="5274231F" wp14:textId="77777777">
      <w:pPr>
        <w:jc w:val="both"/>
        <w:outlineLvl w:val="2"/>
        <w:rPr>
          <w:rFonts w:ascii="Arial" w:hAnsi="Arial" w:cs="Arial"/>
          <w:sz w:val="20"/>
          <w:szCs w:val="20"/>
          <w:lang w:eastAsia="en-GB"/>
        </w:rPr>
      </w:pPr>
      <w:r w:rsidRPr="00202B43">
        <w:rPr>
          <w:rFonts w:ascii="Arial" w:hAnsi="Arial" w:cs="Arial"/>
          <w:b/>
          <w:bCs/>
          <w:sz w:val="20"/>
          <w:szCs w:val="20"/>
          <w:lang w:eastAsia="en-GB"/>
        </w:rPr>
        <w:t>Shareholders will not be permitted to attend the AGM in person and are strongly encouraged to submit their proxy in advance of the meeting to ensure that their votes are registered</w:t>
      </w:r>
      <w:r w:rsidRPr="00202B43">
        <w:rPr>
          <w:rFonts w:ascii="Arial" w:hAnsi="Arial" w:cs="Arial"/>
          <w:sz w:val="20"/>
          <w:szCs w:val="20"/>
          <w:lang w:eastAsia="en-GB"/>
        </w:rPr>
        <w:t>. </w:t>
      </w:r>
    </w:p>
    <w:p xmlns:wp14="http://schemas.microsoft.com/office/word/2010/wordml" w:rsidRPr="00FA6A31" w:rsidR="0C6F54EC" w:rsidP="42F279D8" w:rsidRDefault="004126FD" w14:paraId="4A5C64AE" wp14:textId="77777777">
      <w:pPr>
        <w:spacing w:line="240" w:lineRule="atLeast"/>
        <w:jc w:val="both"/>
        <w:rPr>
          <w:rFonts w:ascii="Arial" w:hAnsi="Arial" w:eastAsia="Arial" w:cs="Arial"/>
          <w:sz w:val="20"/>
          <w:szCs w:val="20"/>
          <w:lang w:val="en-GB"/>
        </w:rPr>
      </w:pPr>
      <w:r>
        <w:rPr>
          <w:rFonts w:ascii="Arial" w:hAnsi="Arial" w:eastAsia="Arial" w:cs="Arial"/>
          <w:sz w:val="20"/>
          <w:szCs w:val="20"/>
          <w:lang w:val="en-GB"/>
        </w:rPr>
        <w:t>S</w:t>
      </w:r>
      <w:r w:rsidRPr="00FA6A31" w:rsidR="0C6F54EC">
        <w:rPr>
          <w:rFonts w:ascii="Arial" w:hAnsi="Arial" w:eastAsia="Arial" w:cs="Arial"/>
          <w:sz w:val="20"/>
          <w:szCs w:val="20"/>
          <w:lang w:val="en-GB"/>
        </w:rPr>
        <w:t xml:space="preserve">hareholders are requested to complete, </w:t>
      </w:r>
      <w:r w:rsidRPr="00FA6A31" w:rsidR="004370A7">
        <w:rPr>
          <w:rFonts w:ascii="Arial" w:hAnsi="Arial" w:eastAsia="Arial" w:cs="Arial"/>
          <w:sz w:val="20"/>
          <w:szCs w:val="20"/>
          <w:lang w:val="en-GB"/>
        </w:rPr>
        <w:t>sign</w:t>
      </w:r>
      <w:r w:rsidR="004370A7">
        <w:rPr>
          <w:rFonts w:ascii="Arial" w:hAnsi="Arial" w:eastAsia="Arial" w:cs="Arial"/>
          <w:sz w:val="20"/>
          <w:szCs w:val="20"/>
          <w:lang w:val="en-GB"/>
        </w:rPr>
        <w:t xml:space="preserve"> </w:t>
      </w:r>
      <w:r w:rsidRPr="00FA6A31" w:rsidR="0C6F54EC">
        <w:rPr>
          <w:rFonts w:ascii="Arial" w:hAnsi="Arial" w:eastAsia="Arial" w:cs="Arial"/>
          <w:sz w:val="20"/>
          <w:szCs w:val="20"/>
          <w:lang w:val="en-GB"/>
        </w:rPr>
        <w:t>and return your Form of Proxy to with</w:t>
      </w:r>
      <w:r w:rsidRPr="00FA6A31" w:rsidR="72D4188F">
        <w:rPr>
          <w:rFonts w:ascii="Arial" w:hAnsi="Arial" w:eastAsia="Arial" w:cs="Arial"/>
          <w:sz w:val="20"/>
          <w:szCs w:val="20"/>
          <w:lang w:val="en-GB"/>
        </w:rPr>
        <w:t xml:space="preserve"> Company’s Registrars, Neville Registrars, at Neville House, Steelpark R</w:t>
      </w:r>
      <w:r w:rsidR="0023346C">
        <w:rPr>
          <w:rFonts w:ascii="Arial" w:hAnsi="Arial" w:eastAsia="Arial" w:cs="Arial"/>
          <w:sz w:val="20"/>
          <w:szCs w:val="20"/>
          <w:lang w:val="en-GB"/>
        </w:rPr>
        <w:t>oa</w:t>
      </w:r>
      <w:r w:rsidRPr="00FA6A31" w:rsidR="72D4188F">
        <w:rPr>
          <w:rFonts w:ascii="Arial" w:hAnsi="Arial" w:eastAsia="Arial" w:cs="Arial"/>
          <w:sz w:val="20"/>
          <w:szCs w:val="20"/>
          <w:lang w:val="en-GB"/>
        </w:rPr>
        <w:t>d, Halesowen B62 8HD</w:t>
      </w:r>
      <w:r w:rsidRPr="00FA6A31" w:rsidR="0C6F54EC">
        <w:rPr>
          <w:rFonts w:ascii="Arial" w:hAnsi="Arial" w:eastAsia="Arial" w:cs="Arial"/>
          <w:sz w:val="20"/>
          <w:szCs w:val="20"/>
          <w:lang w:val="en-GB"/>
        </w:rPr>
        <w:t xml:space="preserve">. The Form of Proxy must be returned as soon as possible but, in any event, so as to arrive no later than </w:t>
      </w:r>
      <w:r w:rsidRPr="00FA6A31" w:rsidR="0675FE26">
        <w:rPr>
          <w:rFonts w:ascii="Arial" w:hAnsi="Arial" w:eastAsia="Arial" w:cs="Arial"/>
          <w:sz w:val="20"/>
          <w:szCs w:val="20"/>
          <w:lang w:val="en-GB"/>
        </w:rPr>
        <w:t>10:00 a.m</w:t>
      </w:r>
      <w:r w:rsidR="00452D52">
        <w:rPr>
          <w:rFonts w:ascii="Arial" w:hAnsi="Arial" w:eastAsia="Arial" w:cs="Arial"/>
          <w:sz w:val="20"/>
          <w:szCs w:val="20"/>
          <w:lang w:val="en-GB"/>
        </w:rPr>
        <w:t>.</w:t>
      </w:r>
      <w:r w:rsidRPr="00FA6A31" w:rsidR="0675FE26">
        <w:rPr>
          <w:rFonts w:ascii="Arial" w:hAnsi="Arial" w:eastAsia="Arial" w:cs="Arial"/>
          <w:sz w:val="20"/>
          <w:szCs w:val="20"/>
          <w:lang w:val="en-GB"/>
        </w:rPr>
        <w:t xml:space="preserve"> </w:t>
      </w:r>
      <w:r w:rsidRPr="00FA6A31" w:rsidR="0C6F54EC">
        <w:rPr>
          <w:rFonts w:ascii="Arial" w:hAnsi="Arial" w:eastAsia="Arial" w:cs="Arial"/>
          <w:sz w:val="20"/>
          <w:szCs w:val="20"/>
          <w:lang w:val="en-GB"/>
        </w:rPr>
        <w:t xml:space="preserve">on </w:t>
      </w:r>
      <w:r w:rsidR="004370A7">
        <w:rPr>
          <w:rFonts w:ascii="Arial" w:hAnsi="Arial" w:eastAsia="Arial" w:cs="Arial"/>
          <w:sz w:val="20"/>
          <w:szCs w:val="20"/>
          <w:lang w:val="en-GB"/>
        </w:rPr>
        <w:t>6 August</w:t>
      </w:r>
      <w:r w:rsidRPr="00FA6A31" w:rsidR="6CB3A4C0">
        <w:rPr>
          <w:rFonts w:ascii="Arial" w:hAnsi="Arial" w:eastAsia="Arial" w:cs="Arial"/>
          <w:sz w:val="20"/>
          <w:szCs w:val="20"/>
          <w:lang w:val="en-GB"/>
        </w:rPr>
        <w:t xml:space="preserve"> 2020</w:t>
      </w:r>
      <w:r w:rsidRPr="00FA6A31" w:rsidR="0C6F54EC">
        <w:rPr>
          <w:rFonts w:ascii="Arial" w:hAnsi="Arial" w:eastAsia="Arial" w:cs="Arial"/>
          <w:sz w:val="20"/>
          <w:szCs w:val="20"/>
          <w:lang w:val="en-GB"/>
        </w:rPr>
        <w:t xml:space="preserve">. </w:t>
      </w:r>
    </w:p>
    <w:p xmlns:wp14="http://schemas.microsoft.com/office/word/2010/wordml" w:rsidRPr="00FA6A31" w:rsidR="0C6F54EC" w:rsidP="42F279D8" w:rsidRDefault="0C6F54EC" w14:paraId="37A8179E" wp14:textId="77777777">
      <w:pPr>
        <w:spacing w:line="240" w:lineRule="atLeast"/>
        <w:jc w:val="both"/>
        <w:rPr>
          <w:rFonts w:ascii="Arial" w:hAnsi="Arial" w:eastAsia="Arial" w:cs="Arial"/>
          <w:sz w:val="20"/>
          <w:szCs w:val="20"/>
          <w:lang w:val="en-GB"/>
        </w:rPr>
      </w:pPr>
      <w:r w:rsidRPr="00FA6A31">
        <w:rPr>
          <w:rFonts w:ascii="Arial" w:hAnsi="Arial" w:eastAsia="Arial" w:cs="Arial"/>
          <w:sz w:val="20"/>
          <w:szCs w:val="20"/>
          <w:lang w:val="en-GB"/>
        </w:rPr>
        <w:t>Yours faithfully</w:t>
      </w:r>
    </w:p>
    <w:p xmlns:wp14="http://schemas.microsoft.com/office/word/2010/wordml" w:rsidRPr="00FA6A31" w:rsidR="650A6090" w:rsidP="42F279D8" w:rsidRDefault="650A6090" w14:paraId="3566C86E" wp14:textId="77777777">
      <w:pPr>
        <w:jc w:val="both"/>
        <w:rPr>
          <w:sz w:val="20"/>
          <w:szCs w:val="20"/>
        </w:rPr>
      </w:pPr>
      <w:r w:rsidRPr="00FA6A31">
        <w:rPr>
          <w:rFonts w:ascii="Arial" w:hAnsi="Arial" w:eastAsia="Arial" w:cs="Arial"/>
          <w:b/>
          <w:bCs/>
          <w:sz w:val="20"/>
          <w:szCs w:val="20"/>
          <w:lang w:val="en-GB"/>
        </w:rPr>
        <w:t>Matt Bonner</w:t>
      </w:r>
    </w:p>
    <w:p xmlns:wp14="http://schemas.microsoft.com/office/word/2010/wordml" w:rsidRPr="00FA6A31" w:rsidR="0C6F54EC" w:rsidP="42F279D8" w:rsidRDefault="0C6F54EC" w14:paraId="6E936636" wp14:textId="77777777">
      <w:pPr>
        <w:spacing w:line="240" w:lineRule="atLeast"/>
        <w:rPr>
          <w:rFonts w:ascii="Arial" w:hAnsi="Arial" w:eastAsia="Arial" w:cs="Arial"/>
          <w:sz w:val="20"/>
          <w:szCs w:val="20"/>
          <w:lang w:val="en-GB"/>
        </w:rPr>
      </w:pPr>
      <w:r w:rsidRPr="00FA6A31">
        <w:rPr>
          <w:rFonts w:ascii="Arial" w:hAnsi="Arial" w:eastAsia="Arial" w:cs="Arial"/>
          <w:i/>
          <w:iCs/>
          <w:sz w:val="20"/>
          <w:szCs w:val="20"/>
          <w:lang w:val="en-GB"/>
        </w:rPr>
        <w:t>Non-Executive Chairman</w:t>
      </w:r>
    </w:p>
    <w:p xmlns:wp14="http://schemas.microsoft.com/office/word/2010/wordml" w:rsidR="00FA6A31" w:rsidP="00FA6A31" w:rsidRDefault="0C6F54EC" w14:paraId="7CB01529" wp14:textId="77777777">
      <w:pPr>
        <w:ind w:left="107"/>
        <w:jc w:val="center"/>
        <w:rPr>
          <w:rFonts w:ascii="Arial" w:hAnsi="Arial" w:eastAsia="Arial" w:cs="Arial"/>
          <w:sz w:val="44"/>
          <w:szCs w:val="44"/>
        </w:rPr>
      </w:pPr>
      <w:r w:rsidRPr="00FA6A31">
        <w:rPr>
          <w:sz w:val="20"/>
          <w:szCs w:val="20"/>
        </w:rPr>
        <w:br w:type="page"/>
      </w:r>
      <w:r w:rsidRPr="42F279D8" w:rsidR="00FA6A31">
        <w:rPr>
          <w:rFonts w:ascii="Arial" w:hAnsi="Arial" w:eastAsia="Arial" w:cs="Arial"/>
          <w:b/>
          <w:bCs/>
          <w:sz w:val="44"/>
          <w:szCs w:val="44"/>
          <w:lang w:val="en-GB"/>
        </w:rPr>
        <w:t xml:space="preserve">Mining, Mineral &amp; Metals PLC </w:t>
      </w:r>
    </w:p>
    <w:p xmlns:wp14="http://schemas.microsoft.com/office/word/2010/wordml" w:rsidRPr="004370A7" w:rsidR="42F279D8" w:rsidP="004370A7" w:rsidRDefault="00FA6A31" w14:paraId="3FC88C1D" wp14:textId="77777777">
      <w:pPr>
        <w:spacing w:line="240" w:lineRule="atLeast"/>
        <w:jc w:val="center"/>
        <w:rPr>
          <w:rFonts w:ascii="Arial" w:hAnsi="Arial" w:eastAsia="Arial" w:cs="Arial"/>
          <w:sz w:val="18"/>
          <w:szCs w:val="18"/>
        </w:rPr>
      </w:pPr>
      <w:r w:rsidRPr="42F279D8">
        <w:rPr>
          <w:rFonts w:ascii="Arial" w:hAnsi="Arial" w:eastAsia="Arial" w:cs="Arial"/>
          <w:i/>
          <w:iCs/>
          <w:sz w:val="18"/>
          <w:szCs w:val="18"/>
          <w:lang w:val="en-GB"/>
        </w:rPr>
        <w:t>(</w:t>
      </w:r>
      <w:r w:rsidRPr="42F279D8">
        <w:rPr>
          <w:rFonts w:ascii="Arial" w:hAnsi="Arial" w:eastAsia="Arial" w:cs="Arial"/>
          <w:sz w:val="18"/>
          <w:szCs w:val="18"/>
          <w:lang w:val="en-GB"/>
        </w:rPr>
        <w:t>Incorporated in England and Wales under the Companies Act 2006 with Registered Number 08377465)</w:t>
      </w:r>
    </w:p>
    <w:p xmlns:wp14="http://schemas.microsoft.com/office/word/2010/wordml" w:rsidR="42F279D8" w:rsidP="004370A7" w:rsidRDefault="0C6F54EC" w14:paraId="3D89247A" wp14:textId="77777777">
      <w:pPr>
        <w:spacing w:line="240" w:lineRule="atLeast"/>
        <w:jc w:val="center"/>
        <w:rPr>
          <w:rFonts w:ascii="Arial" w:hAnsi="Arial" w:eastAsia="Arial" w:cs="Arial"/>
          <w:sz w:val="40"/>
          <w:szCs w:val="40"/>
          <w:lang w:val="en-GB"/>
        </w:rPr>
      </w:pPr>
      <w:r w:rsidRPr="00FA6A31">
        <w:rPr>
          <w:rFonts w:ascii="Arial" w:hAnsi="Arial" w:eastAsia="Arial" w:cs="Arial"/>
          <w:b/>
          <w:bCs/>
          <w:sz w:val="40"/>
          <w:szCs w:val="40"/>
          <w:lang w:val="en-GB"/>
        </w:rPr>
        <w:t>NOTICE OF ANNUAL GENERAL MEETING</w:t>
      </w:r>
    </w:p>
    <w:p xmlns:wp14="http://schemas.microsoft.com/office/word/2010/wordml" w:rsidRPr="004370A7" w:rsidR="004370A7" w:rsidP="004370A7" w:rsidRDefault="004370A7" w14:paraId="62486C05" wp14:textId="77777777">
      <w:pPr>
        <w:spacing w:line="240" w:lineRule="atLeast"/>
        <w:jc w:val="center"/>
        <w:rPr>
          <w:rFonts w:ascii="Arial" w:hAnsi="Arial" w:eastAsia="Arial" w:cs="Arial"/>
          <w:sz w:val="40"/>
          <w:szCs w:val="40"/>
          <w:lang w:val="en-GB"/>
        </w:rPr>
      </w:pPr>
    </w:p>
    <w:p xmlns:wp14="http://schemas.microsoft.com/office/word/2010/wordml" w:rsidRPr="00512D28" w:rsidR="42F279D8" w:rsidP="42F279D8" w:rsidRDefault="0C6F54EC" w14:paraId="18ABE227" wp14:textId="77777777" wp14:noSpellErr="1">
      <w:pPr>
        <w:spacing w:line="240" w:lineRule="atLeast"/>
        <w:jc w:val="both"/>
        <w:rPr>
          <w:rFonts w:ascii="Arial" w:hAnsi="Arial" w:eastAsia="Arial" w:cs="Arial"/>
          <w:sz w:val="20"/>
          <w:szCs w:val="20"/>
          <w:lang w:val="en-GB"/>
        </w:rPr>
      </w:pPr>
      <w:r w:rsidRPr="251773A7" w:rsidR="251773A7">
        <w:rPr>
          <w:rFonts w:ascii="Arial" w:hAnsi="Arial" w:eastAsia="Arial" w:cs="Arial"/>
          <w:b w:val="1"/>
          <w:bCs w:val="1"/>
          <w:sz w:val="20"/>
          <w:szCs w:val="20"/>
          <w:lang w:val="en-GB"/>
        </w:rPr>
        <w:t xml:space="preserve">NOTICE </w:t>
      </w:r>
      <w:r w:rsidRPr="251773A7" w:rsidR="251773A7">
        <w:rPr>
          <w:rFonts w:ascii="Arial" w:hAnsi="Arial" w:eastAsia="Arial" w:cs="Arial"/>
          <w:sz w:val="20"/>
          <w:szCs w:val="20"/>
          <w:lang w:val="en-GB"/>
        </w:rPr>
        <w:t>is hereby given that the 2020 Annual General Meeting of the Shareholders of Mining, Mineral &amp; Metals PLC (the “</w:t>
      </w:r>
      <w:r w:rsidRPr="251773A7" w:rsidR="251773A7">
        <w:rPr>
          <w:rFonts w:ascii="Arial" w:hAnsi="Arial" w:eastAsia="Arial" w:cs="Arial"/>
          <w:b w:val="1"/>
          <w:bCs w:val="1"/>
          <w:sz w:val="20"/>
          <w:szCs w:val="20"/>
          <w:lang w:val="en-GB"/>
        </w:rPr>
        <w:t>Company</w:t>
      </w:r>
      <w:r w:rsidRPr="251773A7" w:rsidR="251773A7">
        <w:rPr>
          <w:rFonts w:ascii="Arial" w:hAnsi="Arial" w:eastAsia="Arial" w:cs="Arial"/>
          <w:sz w:val="20"/>
          <w:szCs w:val="20"/>
          <w:lang w:val="en-GB"/>
        </w:rPr>
        <w:t>”) will be held at 10:00 a.m. on Monday 10 August 2020 at the Company’s registered office, New Liverpool House, 15-17 Eldon Street, London EC2M 7LD, United Kingdom</w:t>
      </w:r>
      <w:r w:rsidRPr="251773A7" w:rsidR="251773A7">
        <w:rPr>
          <w:rFonts w:ascii="Arial" w:hAnsi="Arial" w:eastAsia="Arial" w:cs="Arial"/>
          <w:b w:val="1"/>
          <w:bCs w:val="1"/>
          <w:color w:val="FF0000"/>
          <w:sz w:val="20"/>
          <w:szCs w:val="20"/>
          <w:lang w:val="en-GB"/>
        </w:rPr>
        <w:t xml:space="preserve"> </w:t>
      </w:r>
      <w:r w:rsidRPr="251773A7" w:rsidR="251773A7">
        <w:rPr>
          <w:rFonts w:ascii="Arial" w:hAnsi="Arial" w:eastAsia="Arial" w:cs="Arial"/>
          <w:sz w:val="20"/>
          <w:szCs w:val="20"/>
          <w:lang w:val="en-GB"/>
        </w:rPr>
        <w:t>to consider, and, if thought fit, pass the following ordinary resolutions:</w:t>
      </w:r>
    </w:p>
    <w:p xmlns:wp14="http://schemas.microsoft.com/office/word/2010/wordml" w:rsidRPr="00512D28" w:rsidR="42F279D8" w:rsidP="52133E97" w:rsidRDefault="0C6F54EC" w14:paraId="42F7908E" wp14:textId="77777777">
      <w:pPr>
        <w:spacing w:line="240" w:lineRule="atLeast"/>
        <w:jc w:val="both"/>
        <w:rPr>
          <w:rFonts w:ascii="Arial" w:hAnsi="Arial" w:eastAsia="Arial" w:cs="Arial"/>
          <w:sz w:val="20"/>
          <w:szCs w:val="20"/>
          <w:lang w:val="en-GB"/>
        </w:rPr>
      </w:pPr>
      <w:r w:rsidRPr="00512D28">
        <w:rPr>
          <w:rFonts w:ascii="Arial" w:hAnsi="Arial" w:eastAsia="Arial" w:cs="Arial"/>
          <w:b/>
          <w:bCs/>
          <w:sz w:val="20"/>
          <w:szCs w:val="20"/>
          <w:lang w:val="en-GB"/>
        </w:rPr>
        <w:t xml:space="preserve">ORDINARY RESOLUTIONS </w:t>
      </w:r>
    </w:p>
    <w:p xmlns:wp14="http://schemas.microsoft.com/office/word/2010/wordml" w:rsidRPr="00F66EC9" w:rsidR="4B342871" w:rsidP="52133E97" w:rsidRDefault="4B342871" w14:paraId="5AB6A378" wp14:textId="77777777">
      <w:pPr>
        <w:pStyle w:val="ListParagraph"/>
        <w:numPr>
          <w:ilvl w:val="0"/>
          <w:numId w:val="1"/>
        </w:numPr>
        <w:spacing w:after="120"/>
        <w:jc w:val="both"/>
        <w:rPr>
          <w:rFonts w:ascii="Arial" w:hAnsi="Arial" w:eastAsia="Times New Roman" w:cs="Arial"/>
          <w:sz w:val="20"/>
          <w:szCs w:val="20"/>
          <w:lang w:val="en-GB"/>
        </w:rPr>
      </w:pPr>
      <w:r w:rsidRPr="00512D28">
        <w:rPr>
          <w:rFonts w:ascii="Arial" w:hAnsi="Arial" w:eastAsia="Arial" w:cs="Arial"/>
          <w:sz w:val="20"/>
          <w:szCs w:val="20"/>
          <w:lang w:val="en-GB"/>
        </w:rPr>
        <w:t>To receive</w:t>
      </w:r>
      <w:r w:rsidRPr="00512D28" w:rsidR="54A030A5">
        <w:rPr>
          <w:rFonts w:ascii="Arial" w:hAnsi="Arial" w:eastAsia="Arial" w:cs="Arial"/>
          <w:sz w:val="20"/>
          <w:szCs w:val="20"/>
          <w:lang w:val="en-GB"/>
        </w:rPr>
        <w:t xml:space="preserve"> and adopt</w:t>
      </w:r>
      <w:r w:rsidRPr="00512D28">
        <w:rPr>
          <w:rFonts w:ascii="Arial" w:hAnsi="Arial" w:eastAsia="Arial" w:cs="Arial"/>
          <w:sz w:val="20"/>
          <w:szCs w:val="20"/>
          <w:lang w:val="en-GB"/>
        </w:rPr>
        <w:t xml:space="preserve"> the annual accounts for the </w:t>
      </w:r>
      <w:r w:rsidR="00512D28">
        <w:rPr>
          <w:rFonts w:ascii="Arial" w:hAnsi="Arial" w:eastAsia="Arial" w:cs="Arial"/>
          <w:sz w:val="20"/>
          <w:szCs w:val="20"/>
          <w:lang w:val="en-GB"/>
        </w:rPr>
        <w:t>year ended</w:t>
      </w:r>
      <w:r w:rsidRPr="00512D28">
        <w:rPr>
          <w:rFonts w:ascii="Arial" w:hAnsi="Arial" w:eastAsia="Arial" w:cs="Arial"/>
          <w:sz w:val="20"/>
          <w:szCs w:val="20"/>
          <w:lang w:val="en-GB"/>
        </w:rPr>
        <w:t xml:space="preserve"> 31 </w:t>
      </w:r>
      <w:r w:rsidRPr="00512D28" w:rsidR="6CCEBE31">
        <w:rPr>
          <w:rFonts w:ascii="Arial" w:hAnsi="Arial" w:eastAsia="Arial" w:cs="Arial"/>
          <w:sz w:val="20"/>
          <w:szCs w:val="20"/>
          <w:lang w:val="en-GB"/>
        </w:rPr>
        <w:t xml:space="preserve">January </w:t>
      </w:r>
      <w:r w:rsidRPr="00512D28">
        <w:rPr>
          <w:rFonts w:ascii="Arial" w:hAnsi="Arial" w:eastAsia="Arial" w:cs="Arial"/>
          <w:sz w:val="20"/>
          <w:szCs w:val="20"/>
          <w:lang w:val="en-GB"/>
        </w:rPr>
        <w:t>20</w:t>
      </w:r>
      <w:r w:rsidRPr="00512D28" w:rsidR="3D4DD8DC">
        <w:rPr>
          <w:rFonts w:ascii="Arial" w:hAnsi="Arial" w:eastAsia="Arial" w:cs="Arial"/>
          <w:sz w:val="20"/>
          <w:szCs w:val="20"/>
          <w:lang w:val="en-GB"/>
        </w:rPr>
        <w:t>20</w:t>
      </w:r>
      <w:r w:rsidRPr="00512D28">
        <w:rPr>
          <w:rFonts w:ascii="Arial" w:hAnsi="Arial" w:eastAsia="Arial" w:cs="Arial"/>
          <w:sz w:val="20"/>
          <w:szCs w:val="20"/>
          <w:lang w:val="en-GB"/>
        </w:rPr>
        <w:t xml:space="preserve">, together with the reports of the directors and auditors; </w:t>
      </w:r>
    </w:p>
    <w:p xmlns:wp14="http://schemas.microsoft.com/office/word/2010/wordml" w:rsidRPr="00F66EC9" w:rsidR="4B342871" w:rsidP="52133E97" w:rsidRDefault="4B342871" w14:paraId="42685BBA" wp14:textId="77777777">
      <w:pPr>
        <w:pStyle w:val="ListParagraph"/>
        <w:numPr>
          <w:ilvl w:val="0"/>
          <w:numId w:val="1"/>
        </w:numPr>
        <w:spacing w:after="120"/>
        <w:jc w:val="both"/>
        <w:rPr>
          <w:rFonts w:ascii="Arial" w:hAnsi="Arial" w:eastAsia="Times New Roman" w:cs="Arial"/>
          <w:sz w:val="20"/>
          <w:szCs w:val="20"/>
          <w:lang w:val="en-GB"/>
        </w:rPr>
      </w:pPr>
      <w:r w:rsidRPr="00512D28">
        <w:rPr>
          <w:rFonts w:ascii="Arial" w:hAnsi="Arial" w:eastAsia="Arial" w:cs="Arial"/>
          <w:sz w:val="20"/>
          <w:szCs w:val="20"/>
          <w:lang w:val="en-GB"/>
        </w:rPr>
        <w:t xml:space="preserve">To re-elect </w:t>
      </w:r>
      <w:r w:rsidRPr="00512D28" w:rsidR="0F9F49E8">
        <w:rPr>
          <w:rFonts w:ascii="Arial" w:hAnsi="Arial" w:eastAsia="Arial" w:cs="Arial"/>
          <w:sz w:val="20"/>
          <w:szCs w:val="20"/>
          <w:lang w:val="en-GB"/>
        </w:rPr>
        <w:t>Andrew Monk</w:t>
      </w:r>
      <w:r w:rsidRPr="00512D28">
        <w:rPr>
          <w:rFonts w:ascii="Arial" w:hAnsi="Arial" w:eastAsia="Arial" w:cs="Arial"/>
          <w:sz w:val="20"/>
          <w:szCs w:val="20"/>
          <w:lang w:val="en-GB"/>
        </w:rPr>
        <w:t xml:space="preserve"> as a director; </w:t>
      </w:r>
    </w:p>
    <w:p xmlns:wp14="http://schemas.microsoft.com/office/word/2010/wordml" w:rsidRPr="00F66EC9" w:rsidR="4B342871" w:rsidP="52133E97" w:rsidRDefault="4B342871" w14:paraId="38486C27" wp14:textId="77777777">
      <w:pPr>
        <w:pStyle w:val="ListParagraph"/>
        <w:numPr>
          <w:ilvl w:val="0"/>
          <w:numId w:val="1"/>
        </w:numPr>
        <w:spacing w:after="120"/>
        <w:jc w:val="both"/>
        <w:rPr>
          <w:rFonts w:ascii="Arial" w:hAnsi="Arial" w:eastAsia="Times New Roman" w:cs="Arial"/>
          <w:sz w:val="20"/>
          <w:szCs w:val="20"/>
          <w:lang w:val="en-GB"/>
        </w:rPr>
      </w:pPr>
      <w:r w:rsidRPr="00512D28">
        <w:rPr>
          <w:rFonts w:ascii="Arial" w:hAnsi="Arial" w:eastAsia="Arial" w:cs="Arial"/>
          <w:sz w:val="20"/>
          <w:szCs w:val="20"/>
          <w:lang w:val="en-GB"/>
        </w:rPr>
        <w:t>To re-elect</w:t>
      </w:r>
      <w:r w:rsidR="00D52FF5">
        <w:rPr>
          <w:rFonts w:ascii="Arial" w:hAnsi="Arial" w:eastAsia="Arial" w:cs="Arial"/>
          <w:sz w:val="20"/>
          <w:szCs w:val="20"/>
          <w:lang w:val="en-GB"/>
        </w:rPr>
        <w:t xml:space="preserve"> Kay Asare-Bediako </w:t>
      </w:r>
      <w:r w:rsidRPr="00512D28">
        <w:rPr>
          <w:rFonts w:ascii="Arial" w:hAnsi="Arial" w:eastAsia="Arial" w:cs="Arial"/>
          <w:sz w:val="20"/>
          <w:szCs w:val="20"/>
          <w:lang w:val="en-GB"/>
        </w:rPr>
        <w:t xml:space="preserve">as a director; </w:t>
      </w:r>
    </w:p>
    <w:p xmlns:wp14="http://schemas.microsoft.com/office/word/2010/wordml" w:rsidRPr="00F66EC9" w:rsidR="003313CB" w:rsidP="52133E97" w:rsidRDefault="003313CB" w14:paraId="2912B628" wp14:textId="77777777">
      <w:pPr>
        <w:pStyle w:val="ListParagraph"/>
        <w:numPr>
          <w:ilvl w:val="0"/>
          <w:numId w:val="1"/>
        </w:numPr>
        <w:spacing w:after="120"/>
        <w:jc w:val="both"/>
        <w:rPr>
          <w:rFonts w:ascii="Arial" w:hAnsi="Arial" w:eastAsia="Times New Roman" w:cs="Arial"/>
          <w:sz w:val="20"/>
          <w:szCs w:val="20"/>
          <w:lang w:val="en-GB"/>
        </w:rPr>
      </w:pPr>
      <w:r>
        <w:rPr>
          <w:rFonts w:ascii="Arial" w:hAnsi="Arial" w:eastAsia="Arial" w:cs="Arial"/>
          <w:sz w:val="20"/>
          <w:szCs w:val="20"/>
          <w:lang w:val="en-GB"/>
        </w:rPr>
        <w:t>To</w:t>
      </w:r>
      <w:r w:rsidR="004370A7">
        <w:rPr>
          <w:rFonts w:ascii="Arial" w:hAnsi="Arial" w:eastAsia="Arial" w:cs="Arial"/>
          <w:sz w:val="20"/>
          <w:szCs w:val="20"/>
          <w:lang w:val="en-GB"/>
        </w:rPr>
        <w:t xml:space="preserve"> confirm the</w:t>
      </w:r>
      <w:r>
        <w:rPr>
          <w:rFonts w:ascii="Arial" w:hAnsi="Arial" w:eastAsia="Arial" w:cs="Arial"/>
          <w:sz w:val="20"/>
          <w:szCs w:val="20"/>
          <w:lang w:val="en-GB"/>
        </w:rPr>
        <w:t xml:space="preserve"> appoint</w:t>
      </w:r>
      <w:r w:rsidR="004126FD">
        <w:rPr>
          <w:rFonts w:ascii="Arial" w:hAnsi="Arial" w:eastAsia="Arial" w:cs="Arial"/>
          <w:sz w:val="20"/>
          <w:szCs w:val="20"/>
          <w:lang w:val="en-GB"/>
        </w:rPr>
        <w:t xml:space="preserve">ment </w:t>
      </w:r>
      <w:r w:rsidR="004370A7">
        <w:rPr>
          <w:rFonts w:ascii="Arial" w:hAnsi="Arial" w:eastAsia="Arial" w:cs="Arial"/>
          <w:sz w:val="20"/>
          <w:szCs w:val="20"/>
          <w:lang w:val="en-GB"/>
        </w:rPr>
        <w:t>of</w:t>
      </w:r>
      <w:r>
        <w:rPr>
          <w:rFonts w:ascii="Arial" w:hAnsi="Arial" w:eastAsia="Arial" w:cs="Arial"/>
          <w:sz w:val="20"/>
          <w:szCs w:val="20"/>
          <w:lang w:val="en-GB"/>
        </w:rPr>
        <w:t xml:space="preserve"> Roy Pitchford as a director;</w:t>
      </w:r>
    </w:p>
    <w:p xmlns:wp14="http://schemas.microsoft.com/office/word/2010/wordml" w:rsidRPr="00512D28" w:rsidR="7CC07935" w:rsidP="52133E97" w:rsidRDefault="7CC07935" w14:paraId="20862723" wp14:textId="77777777">
      <w:pPr>
        <w:pStyle w:val="ListParagraph"/>
        <w:numPr>
          <w:ilvl w:val="0"/>
          <w:numId w:val="1"/>
        </w:numPr>
        <w:spacing w:after="120"/>
        <w:jc w:val="both"/>
        <w:rPr>
          <w:rFonts w:ascii="Arial" w:hAnsi="Arial" w:cs="Arial"/>
          <w:sz w:val="20"/>
          <w:szCs w:val="20"/>
          <w:lang w:val="en-GB"/>
        </w:rPr>
      </w:pPr>
      <w:r w:rsidRPr="00512D28">
        <w:rPr>
          <w:rFonts w:ascii="Arial" w:hAnsi="Arial" w:eastAsia="Arial" w:cs="Arial"/>
          <w:sz w:val="20"/>
          <w:szCs w:val="20"/>
          <w:lang w:val="en-GB"/>
        </w:rPr>
        <w:t xml:space="preserve">To </w:t>
      </w:r>
      <w:r w:rsidR="004370A7">
        <w:rPr>
          <w:rFonts w:ascii="Arial" w:hAnsi="Arial" w:eastAsia="Arial" w:cs="Arial"/>
          <w:sz w:val="20"/>
          <w:szCs w:val="20"/>
          <w:lang w:val="en-GB"/>
        </w:rPr>
        <w:t xml:space="preserve">confirm the </w:t>
      </w:r>
      <w:r w:rsidRPr="00512D28">
        <w:rPr>
          <w:rFonts w:ascii="Arial" w:hAnsi="Arial" w:eastAsia="Arial" w:cs="Arial"/>
          <w:sz w:val="20"/>
          <w:szCs w:val="20"/>
          <w:lang w:val="en-GB"/>
        </w:rPr>
        <w:t>appoint</w:t>
      </w:r>
      <w:r w:rsidR="004126FD">
        <w:rPr>
          <w:rFonts w:ascii="Arial" w:hAnsi="Arial" w:eastAsia="Arial" w:cs="Arial"/>
          <w:sz w:val="20"/>
          <w:szCs w:val="20"/>
          <w:lang w:val="en-GB"/>
        </w:rPr>
        <w:t>ment</w:t>
      </w:r>
      <w:r w:rsidRPr="00512D28">
        <w:rPr>
          <w:rFonts w:ascii="Arial" w:hAnsi="Arial" w:eastAsia="Arial" w:cs="Arial"/>
          <w:sz w:val="20"/>
          <w:szCs w:val="20"/>
          <w:lang w:val="en-GB"/>
        </w:rPr>
        <w:t xml:space="preserve"> </w:t>
      </w:r>
      <w:r w:rsidR="004370A7">
        <w:rPr>
          <w:rFonts w:ascii="Arial" w:hAnsi="Arial" w:eastAsia="Arial" w:cs="Arial"/>
          <w:sz w:val="20"/>
          <w:szCs w:val="20"/>
          <w:lang w:val="en-GB"/>
        </w:rPr>
        <w:t xml:space="preserve">of </w:t>
      </w:r>
      <w:r w:rsidRPr="00512D28">
        <w:rPr>
          <w:rFonts w:ascii="Arial" w:hAnsi="Arial" w:eastAsia="Arial" w:cs="Arial"/>
          <w:sz w:val="20"/>
          <w:szCs w:val="20"/>
          <w:lang w:val="en-GB"/>
        </w:rPr>
        <w:t>Michael Stewart as a director;</w:t>
      </w:r>
    </w:p>
    <w:p xmlns:wp14="http://schemas.microsoft.com/office/word/2010/wordml" w:rsidRPr="00F66EC9" w:rsidR="4B342871" w:rsidP="52133E97" w:rsidRDefault="4B342871" w14:paraId="7E0ED468" wp14:textId="77777777">
      <w:pPr>
        <w:pStyle w:val="ListParagraph"/>
        <w:numPr>
          <w:ilvl w:val="0"/>
          <w:numId w:val="1"/>
        </w:numPr>
        <w:spacing w:after="120"/>
        <w:jc w:val="both"/>
        <w:rPr>
          <w:rFonts w:ascii="Arial" w:hAnsi="Arial" w:eastAsia="Times New Roman" w:cs="Arial"/>
          <w:sz w:val="20"/>
          <w:szCs w:val="20"/>
          <w:lang w:val="en-GB"/>
        </w:rPr>
      </w:pPr>
      <w:r w:rsidRPr="00512D28">
        <w:rPr>
          <w:rFonts w:ascii="Arial" w:hAnsi="Arial" w:eastAsia="Arial" w:cs="Arial"/>
          <w:sz w:val="20"/>
          <w:szCs w:val="20"/>
          <w:lang w:val="en-GB"/>
        </w:rPr>
        <w:t xml:space="preserve">To authorise the directors to determine the auditors’ remuneration; </w:t>
      </w:r>
    </w:p>
    <w:p xmlns:wp14="http://schemas.microsoft.com/office/word/2010/wordml" w:rsidRPr="00F66EC9" w:rsidR="0C6F54EC" w:rsidP="52133E97" w:rsidRDefault="0C6F54EC" w14:paraId="41D81EC4" wp14:textId="77777777">
      <w:pPr>
        <w:pStyle w:val="ListParagraph"/>
        <w:numPr>
          <w:ilvl w:val="0"/>
          <w:numId w:val="1"/>
        </w:numPr>
        <w:spacing w:after="120" w:line="240" w:lineRule="atLeast"/>
        <w:jc w:val="both"/>
        <w:rPr>
          <w:rFonts w:ascii="Arial" w:hAnsi="Arial" w:eastAsia="Times New Roman" w:cs="Arial"/>
          <w:sz w:val="20"/>
          <w:szCs w:val="20"/>
          <w:lang w:val="en-GB"/>
        </w:rPr>
      </w:pPr>
      <w:r w:rsidRPr="00512D28">
        <w:rPr>
          <w:rFonts w:ascii="Arial" w:hAnsi="Arial" w:eastAsia="Arial" w:cs="Arial"/>
          <w:sz w:val="20"/>
          <w:szCs w:val="20"/>
          <w:lang w:val="en-GB"/>
        </w:rPr>
        <w:t xml:space="preserve">That </w:t>
      </w:r>
      <w:r w:rsidRPr="00512D28" w:rsidR="753B2B7E">
        <w:rPr>
          <w:rFonts w:ascii="Arial" w:hAnsi="Arial" w:eastAsia="Arial" w:cs="Arial"/>
          <w:sz w:val="20"/>
          <w:szCs w:val="20"/>
          <w:lang w:val="en-GB"/>
        </w:rPr>
        <w:t>Crowe U.K LLP</w:t>
      </w:r>
      <w:r w:rsidRPr="00512D28">
        <w:rPr>
          <w:rFonts w:ascii="Arial" w:hAnsi="Arial" w:eastAsia="Arial" w:cs="Arial"/>
          <w:sz w:val="20"/>
          <w:szCs w:val="20"/>
          <w:lang w:val="en-GB"/>
        </w:rPr>
        <w:t xml:space="preserve"> be re-appointed as auditor of the Company to hold office from the conclusion of this meeting until the conclusion of the next Annual General Meeting at which accounts are laid before the Company, and that the Directors be authorised to fix the Auditors’ remuneration</w:t>
      </w:r>
      <w:r w:rsidRPr="00512D28" w:rsidR="49811EEE">
        <w:rPr>
          <w:rFonts w:ascii="Arial" w:hAnsi="Arial" w:eastAsia="Arial" w:cs="Arial"/>
          <w:sz w:val="20"/>
          <w:szCs w:val="20"/>
          <w:lang w:val="en-GB"/>
        </w:rPr>
        <w:t>;</w:t>
      </w:r>
    </w:p>
    <w:p xmlns:wp14="http://schemas.microsoft.com/office/word/2010/wordml" w:rsidRPr="00F66EC9" w:rsidR="0544FEBA" w:rsidP="7872BB8C" w:rsidRDefault="7872BB8C" w14:paraId="5F762403" wp14:textId="77777777">
      <w:pPr>
        <w:pStyle w:val="ListParagraph"/>
        <w:numPr>
          <w:ilvl w:val="0"/>
          <w:numId w:val="1"/>
        </w:numPr>
        <w:spacing w:after="120" w:line="240" w:lineRule="atLeast"/>
        <w:jc w:val="both"/>
        <w:rPr>
          <w:rFonts w:ascii="Arial" w:hAnsi="Arial" w:eastAsia="Times New Roman" w:cs="Arial"/>
          <w:sz w:val="20"/>
          <w:szCs w:val="20"/>
          <w:lang w:val="en-GB"/>
        </w:rPr>
      </w:pPr>
      <w:r w:rsidRPr="00512D28">
        <w:rPr>
          <w:rFonts w:ascii="Arial" w:hAnsi="Arial" w:eastAsia="Arial" w:cs="Arial"/>
          <w:sz w:val="20"/>
          <w:szCs w:val="20"/>
          <w:lang w:val="en-GB"/>
        </w:rPr>
        <w:t>That in accordance with section 551 of the Companies Act 2006 as amended (the “</w:t>
      </w:r>
      <w:r w:rsidRPr="00512D28">
        <w:rPr>
          <w:rFonts w:ascii="Arial" w:hAnsi="Arial" w:eastAsia="Arial" w:cs="Arial"/>
          <w:b/>
          <w:bCs/>
          <w:sz w:val="20"/>
          <w:szCs w:val="20"/>
          <w:lang w:val="en-GB"/>
        </w:rPr>
        <w:t>2006 Act</w:t>
      </w:r>
      <w:r w:rsidRPr="00512D28">
        <w:rPr>
          <w:rFonts w:ascii="Arial" w:hAnsi="Arial" w:eastAsia="Arial" w:cs="Arial"/>
          <w:sz w:val="20"/>
          <w:szCs w:val="20"/>
          <w:lang w:val="en-GB"/>
        </w:rPr>
        <w:t>”), the directors be generally and unconditionally authorised to allot Ordinary Shares or grant rights to subscribe for, or to convert any security into, Ordinary Shares, up to an aggregate nominal value of £</w:t>
      </w:r>
      <w:r w:rsidRPr="00512D28">
        <w:rPr>
          <w:rFonts w:ascii="Arial" w:hAnsi="Arial" w:cs="Arial"/>
          <w:sz w:val="20"/>
          <w:szCs w:val="20"/>
          <w:lang w:val="en-GB"/>
        </w:rPr>
        <w:t>318,833.33</w:t>
      </w:r>
      <w:r w:rsidRPr="00512D28">
        <w:rPr>
          <w:rFonts w:ascii="Arial" w:hAnsi="Arial" w:eastAsia="Arial" w:cs="Arial"/>
          <w:sz w:val="20"/>
          <w:szCs w:val="20"/>
          <w:lang w:val="en-GB"/>
        </w:rPr>
        <w:t xml:space="preserve">, provided that this authority shall, unless renewed, varied or revoked by the Company in general meeting expire at the conclusion of the next annual general meeting or on the date which is 6 months after the next accounting reference date of the Company (if earlier) save that the Company may at any time before such expiry make an offer or agreement which might require Ordinary Shares to be allotted after such expiry and the directors may allow Ordinary Shares to be allotted in pursuance of such offer or agreement notwithstanding that the authority hereby conferred has expired. This resolution revokes and replaces all unexercised authorities previously granted to the directors of the Company in accordance with section 551 of the 2006 Act but without prejudice to any allotment of shares or grant of rights already made, offered or agreed to be made pursuant to such authorities. </w:t>
      </w:r>
    </w:p>
    <w:p xmlns:wp14="http://schemas.microsoft.com/office/word/2010/wordml" w:rsidRPr="00512D28" w:rsidR="004370A7" w:rsidP="004370A7" w:rsidRDefault="7872BB8C" w14:paraId="68B14A8D" wp14:textId="77777777">
      <w:pPr>
        <w:spacing w:after="120" w:line="240" w:lineRule="atLeast"/>
        <w:jc w:val="both"/>
        <w:rPr>
          <w:rFonts w:ascii="Arial" w:hAnsi="Arial" w:eastAsia="Arial" w:cs="Arial"/>
          <w:sz w:val="20"/>
          <w:szCs w:val="20"/>
          <w:lang w:val="en-GB"/>
        </w:rPr>
      </w:pPr>
      <w:r w:rsidRPr="00512D28">
        <w:rPr>
          <w:rFonts w:ascii="Arial" w:hAnsi="Arial" w:eastAsia="Arial" w:cs="Arial"/>
          <w:sz w:val="20"/>
          <w:szCs w:val="20"/>
          <w:lang w:val="en-GB"/>
        </w:rPr>
        <w:t xml:space="preserve">In resolutions </w:t>
      </w:r>
      <w:r w:rsidR="003313CB">
        <w:rPr>
          <w:rFonts w:ascii="Arial" w:hAnsi="Arial" w:eastAsia="Arial" w:cs="Arial"/>
          <w:sz w:val="20"/>
          <w:szCs w:val="20"/>
          <w:lang w:val="en-GB"/>
        </w:rPr>
        <w:t>8</w:t>
      </w:r>
      <w:r w:rsidRPr="00512D28">
        <w:rPr>
          <w:rFonts w:ascii="Arial" w:hAnsi="Arial" w:eastAsia="Arial" w:cs="Arial"/>
          <w:sz w:val="20"/>
          <w:szCs w:val="20"/>
          <w:lang w:val="en-GB"/>
        </w:rPr>
        <w:t xml:space="preserve"> and </w:t>
      </w:r>
      <w:r w:rsidR="003313CB">
        <w:rPr>
          <w:rFonts w:ascii="Arial" w:hAnsi="Arial" w:eastAsia="Arial" w:cs="Arial"/>
          <w:sz w:val="20"/>
          <w:szCs w:val="20"/>
          <w:lang w:val="en-GB"/>
        </w:rPr>
        <w:t>9</w:t>
      </w:r>
      <w:r w:rsidRPr="00512D28">
        <w:rPr>
          <w:rFonts w:ascii="Arial" w:hAnsi="Arial" w:eastAsia="Arial" w:cs="Arial"/>
          <w:sz w:val="20"/>
          <w:szCs w:val="20"/>
          <w:lang w:val="en-GB"/>
        </w:rPr>
        <w:t>, “</w:t>
      </w:r>
      <w:r w:rsidRPr="00512D28">
        <w:rPr>
          <w:rFonts w:ascii="Arial" w:hAnsi="Arial" w:eastAsia="Arial" w:cs="Arial"/>
          <w:b/>
          <w:bCs/>
          <w:sz w:val="20"/>
          <w:szCs w:val="20"/>
          <w:lang w:val="en-GB"/>
        </w:rPr>
        <w:t>Ordinary Shares</w:t>
      </w:r>
      <w:r w:rsidRPr="00512D28">
        <w:rPr>
          <w:rFonts w:ascii="Arial" w:hAnsi="Arial" w:eastAsia="Arial" w:cs="Arial"/>
          <w:sz w:val="20"/>
          <w:szCs w:val="20"/>
          <w:lang w:val="en-GB"/>
        </w:rPr>
        <w:t>” means shares of 1p in the capital of the Company and the grant of any right to subscribe for, or to convert any security into, shares in the capital of the Company.</w:t>
      </w:r>
    </w:p>
    <w:p xmlns:wp14="http://schemas.microsoft.com/office/word/2010/wordml" w:rsidRPr="00512D28" w:rsidR="0544FEBA" w:rsidP="52133E97" w:rsidRDefault="0544FEBA" w14:paraId="17C30F50" wp14:textId="77777777">
      <w:pPr>
        <w:jc w:val="both"/>
        <w:rPr>
          <w:rFonts w:ascii="Arial" w:hAnsi="Arial" w:eastAsia="Arial" w:cs="Arial"/>
          <w:b/>
          <w:bCs/>
          <w:sz w:val="20"/>
          <w:szCs w:val="20"/>
          <w:lang w:val="en-GB"/>
        </w:rPr>
      </w:pPr>
      <w:r w:rsidRPr="00512D28">
        <w:rPr>
          <w:rFonts w:ascii="Arial" w:hAnsi="Arial" w:eastAsia="Arial" w:cs="Arial"/>
          <w:b/>
          <w:bCs/>
          <w:sz w:val="20"/>
          <w:szCs w:val="20"/>
          <w:lang w:val="en-GB"/>
        </w:rPr>
        <w:t xml:space="preserve">SPECIAL RESOLUTION </w:t>
      </w:r>
    </w:p>
    <w:p xmlns:wp14="http://schemas.microsoft.com/office/word/2010/wordml" w:rsidRPr="004370A7" w:rsidR="52133E97" w:rsidP="004370A7" w:rsidRDefault="0544FEBA" w14:paraId="336D1C71" wp14:textId="77777777">
      <w:pPr>
        <w:pStyle w:val="ListParagraph"/>
        <w:numPr>
          <w:ilvl w:val="0"/>
          <w:numId w:val="1"/>
        </w:numPr>
        <w:spacing w:before="120" w:after="120"/>
        <w:jc w:val="both"/>
        <w:rPr>
          <w:rFonts w:ascii="Arial" w:hAnsi="Arial" w:eastAsia="Times New Roman" w:cs="Arial"/>
          <w:sz w:val="20"/>
          <w:szCs w:val="20"/>
          <w:lang w:val="en-GB"/>
        </w:rPr>
      </w:pPr>
      <w:r w:rsidRPr="00512D28">
        <w:rPr>
          <w:rFonts w:ascii="Arial" w:hAnsi="Arial" w:eastAsia="Arial" w:cs="Arial"/>
          <w:sz w:val="20"/>
          <w:szCs w:val="20"/>
          <w:lang w:val="en-GB"/>
        </w:rPr>
        <w:t>T</w:t>
      </w:r>
      <w:r w:rsidRPr="00512D28" w:rsidR="3FC9C4A9">
        <w:rPr>
          <w:rFonts w:ascii="Arial" w:hAnsi="Arial" w:eastAsia="Arial" w:cs="Arial"/>
          <w:sz w:val="20"/>
          <w:szCs w:val="20"/>
          <w:lang w:val="en-GB"/>
        </w:rPr>
        <w:t>hat</w:t>
      </w:r>
      <w:r w:rsidRPr="00512D28">
        <w:rPr>
          <w:rFonts w:ascii="Arial" w:hAnsi="Arial" w:eastAsia="Arial" w:cs="Arial"/>
          <w:sz w:val="20"/>
          <w:szCs w:val="20"/>
          <w:lang w:val="en-GB"/>
        </w:rPr>
        <w:t xml:space="preserve">, subject to resolution </w:t>
      </w:r>
      <w:r w:rsidR="003313CB">
        <w:rPr>
          <w:rFonts w:ascii="Arial" w:hAnsi="Arial" w:eastAsia="Arial" w:cs="Arial"/>
          <w:sz w:val="20"/>
          <w:szCs w:val="20"/>
          <w:lang w:val="en-GB"/>
        </w:rPr>
        <w:t>8</w:t>
      </w:r>
      <w:r w:rsidRPr="00512D28">
        <w:rPr>
          <w:rFonts w:ascii="Arial" w:hAnsi="Arial" w:eastAsia="Arial" w:cs="Arial"/>
          <w:sz w:val="20"/>
          <w:szCs w:val="20"/>
          <w:lang w:val="en-GB"/>
        </w:rPr>
        <w:t xml:space="preserve"> above being duly passed, the directors be generally empowered pursuant to section 570 of the 2006 Act to allow equity securities (as defined in section 560 of the 2006 Act) as if section 561(1) of the 2006 Act did not apply to any such allotment pursuant to the general authority conferred on them by resolution </w:t>
      </w:r>
      <w:r w:rsidR="003313CB">
        <w:rPr>
          <w:rFonts w:ascii="Arial" w:hAnsi="Arial" w:eastAsia="Arial" w:cs="Arial"/>
          <w:sz w:val="20"/>
          <w:szCs w:val="20"/>
          <w:lang w:val="en-GB"/>
        </w:rPr>
        <w:t>8</w:t>
      </w:r>
      <w:r w:rsidRPr="00512D28">
        <w:rPr>
          <w:rFonts w:ascii="Arial" w:hAnsi="Arial" w:eastAsia="Arial" w:cs="Arial"/>
          <w:sz w:val="20"/>
          <w:szCs w:val="20"/>
          <w:lang w:val="en-GB"/>
        </w:rPr>
        <w:t xml:space="preserve"> above (as varied from time to time by the Company in general meeting) provided that power is limited to: </w:t>
      </w:r>
    </w:p>
    <w:p xmlns:wp14="http://schemas.microsoft.com/office/word/2010/wordml" w:rsidRPr="004370A7" w:rsidR="004370A7" w:rsidP="004370A7" w:rsidRDefault="004370A7" w14:paraId="4101652C" wp14:textId="77777777">
      <w:pPr>
        <w:pStyle w:val="ListParagraph"/>
        <w:spacing w:before="120" w:after="120"/>
        <w:ind w:left="0"/>
        <w:jc w:val="both"/>
        <w:rPr>
          <w:rFonts w:ascii="Arial" w:hAnsi="Arial" w:eastAsia="Times New Roman" w:cs="Arial"/>
          <w:sz w:val="20"/>
          <w:szCs w:val="20"/>
          <w:lang w:val="en-GB"/>
        </w:rPr>
      </w:pPr>
    </w:p>
    <w:p xmlns:wp14="http://schemas.microsoft.com/office/word/2010/wordml" w:rsidRPr="003313CB" w:rsidR="52133E97" w:rsidP="003313CB" w:rsidRDefault="6AA9DD1A" w14:paraId="52EBDBC2" wp14:textId="77777777">
      <w:pPr>
        <w:pStyle w:val="ListParagraph"/>
        <w:numPr>
          <w:ilvl w:val="1"/>
          <w:numId w:val="1"/>
        </w:numPr>
        <w:spacing w:before="120" w:after="120"/>
        <w:ind w:left="1080"/>
        <w:jc w:val="both"/>
        <w:rPr>
          <w:rFonts w:ascii="Arial" w:hAnsi="Arial" w:cs="Arial"/>
          <w:sz w:val="20"/>
          <w:szCs w:val="20"/>
          <w:lang w:val="en-GB"/>
        </w:rPr>
      </w:pPr>
      <w:r w:rsidRPr="00512D28">
        <w:rPr>
          <w:rFonts w:ascii="Arial" w:hAnsi="Arial" w:eastAsia="Arial" w:cs="Arial"/>
          <w:sz w:val="20"/>
          <w:szCs w:val="20"/>
          <w:lang w:val="en-GB"/>
        </w:rPr>
        <w:t>T</w:t>
      </w:r>
      <w:r w:rsidRPr="00512D28" w:rsidR="0544FEBA">
        <w:rPr>
          <w:rFonts w:ascii="Arial" w:hAnsi="Arial" w:eastAsia="Arial" w:cs="Arial"/>
          <w:sz w:val="20"/>
          <w:szCs w:val="20"/>
          <w:lang w:val="en-GB"/>
        </w:rPr>
        <w:t>he allotment of equity securities in connection with a rights issue or any other offer to holders of Ordinary Shares in proportion (as nearly as may be practicable) to their respective holdings and to holders of other equity securities as required by the rights of those securities or as the directors otherwise consider necessary, but subject to such exclusions or other arrangements as the directors of the Company may deem necessary or expedient in relation to treasury shares, fractional entitlements, record dates, legal or practical problems in or under the laws of any territory or the requirements of any regulatory body or exchange; and</w:t>
      </w:r>
    </w:p>
    <w:p xmlns:wp14="http://schemas.microsoft.com/office/word/2010/wordml" w:rsidRPr="003313CB" w:rsidR="003313CB" w:rsidP="003313CB" w:rsidRDefault="003313CB" w14:paraId="4B99056E" wp14:textId="77777777">
      <w:pPr>
        <w:pStyle w:val="ListParagraph"/>
        <w:spacing w:before="120" w:after="120"/>
        <w:ind w:left="1080"/>
        <w:jc w:val="both"/>
        <w:rPr>
          <w:rFonts w:ascii="Arial" w:hAnsi="Arial" w:cs="Arial"/>
          <w:sz w:val="20"/>
          <w:szCs w:val="20"/>
          <w:lang w:val="en-GB"/>
        </w:rPr>
      </w:pPr>
    </w:p>
    <w:p xmlns:wp14="http://schemas.microsoft.com/office/word/2010/wordml" w:rsidRPr="00F66EC9" w:rsidR="245E19DE" w:rsidP="00512D28" w:rsidRDefault="245E19DE" w14:paraId="0A3FF746" wp14:textId="77777777">
      <w:pPr>
        <w:pStyle w:val="ListParagraph"/>
        <w:numPr>
          <w:ilvl w:val="1"/>
          <w:numId w:val="1"/>
        </w:numPr>
        <w:spacing w:before="120" w:after="120" w:line="240" w:lineRule="atLeast"/>
        <w:ind w:left="1080"/>
        <w:jc w:val="both"/>
        <w:rPr>
          <w:rFonts w:ascii="Arial" w:hAnsi="Arial" w:eastAsia="Times New Roman" w:cs="Arial"/>
          <w:sz w:val="20"/>
          <w:szCs w:val="20"/>
          <w:lang w:val="en-GB"/>
        </w:rPr>
      </w:pPr>
      <w:r w:rsidRPr="00512D28">
        <w:rPr>
          <w:rFonts w:ascii="Arial" w:hAnsi="Arial" w:eastAsia="Arial" w:cs="Arial"/>
          <w:sz w:val="20"/>
          <w:szCs w:val="20"/>
          <w:lang w:val="en-GB"/>
        </w:rPr>
        <w:t>T</w:t>
      </w:r>
      <w:r w:rsidRPr="00512D28" w:rsidR="0544FEBA">
        <w:rPr>
          <w:rFonts w:ascii="Arial" w:hAnsi="Arial" w:eastAsia="Arial" w:cs="Arial"/>
          <w:sz w:val="20"/>
          <w:szCs w:val="20"/>
          <w:lang w:val="en-GB"/>
        </w:rPr>
        <w:t xml:space="preserve">he allotment of up to </w:t>
      </w:r>
      <w:r w:rsidRPr="00512D28" w:rsidR="50393ECB">
        <w:rPr>
          <w:rFonts w:ascii="Arial" w:hAnsi="Arial" w:cs="Arial"/>
          <w:sz w:val="20"/>
          <w:szCs w:val="20"/>
          <w:lang w:val="en-GB"/>
        </w:rPr>
        <w:t xml:space="preserve">31,883,333 </w:t>
      </w:r>
      <w:r w:rsidRPr="00512D28" w:rsidR="0544FEBA">
        <w:rPr>
          <w:rFonts w:ascii="Arial" w:hAnsi="Arial" w:eastAsia="Arial" w:cs="Arial"/>
          <w:sz w:val="20"/>
          <w:szCs w:val="20"/>
          <w:lang w:val="en-GB"/>
        </w:rPr>
        <w:t xml:space="preserve">Ordinary Shares issued for cash (otherwise than pursuant to paragraph </w:t>
      </w:r>
      <w:r w:rsidR="003313CB">
        <w:rPr>
          <w:rFonts w:ascii="Arial" w:hAnsi="Arial" w:eastAsia="Arial" w:cs="Arial"/>
          <w:sz w:val="20"/>
          <w:szCs w:val="20"/>
          <w:lang w:val="en-GB"/>
        </w:rPr>
        <w:t>9</w:t>
      </w:r>
      <w:r w:rsidRPr="00512D28" w:rsidR="0544FEBA">
        <w:rPr>
          <w:rFonts w:ascii="Arial" w:hAnsi="Arial" w:eastAsia="Arial" w:cs="Arial"/>
          <w:sz w:val="20"/>
          <w:szCs w:val="20"/>
          <w:lang w:val="en-GB"/>
        </w:rPr>
        <w:t>.1 above); and the power hereby conferred shall, unless renewed, varied or revoked by the Company in general meeting, expire at the conclusion of the next annual general meeting or on the date which is 6 months after the next accounting reference date of the Company (if earlier) save that the Company may, before such expiry make an offer or agreement which would or might require equity securities to be allotted after such expiry and the directors may allot equity securities in pursuance of such offer or agreement notwithstanding that the powers conferred by this resolution has expired.</w:t>
      </w:r>
    </w:p>
    <w:p xmlns:wp14="http://schemas.microsoft.com/office/word/2010/wordml" w:rsidRPr="00512D28" w:rsidR="42F279D8" w:rsidP="42F279D8" w:rsidRDefault="42F279D8" w14:paraId="1299C43A" wp14:textId="77777777">
      <w:pPr>
        <w:spacing w:line="240" w:lineRule="atLeast"/>
        <w:ind w:left="360"/>
        <w:jc w:val="both"/>
        <w:rPr>
          <w:rFonts w:ascii="Arial" w:hAnsi="Arial" w:eastAsia="Arial" w:cs="Arial"/>
          <w:sz w:val="20"/>
          <w:szCs w:val="20"/>
          <w:lang w:val="en-GB"/>
        </w:rPr>
      </w:pPr>
    </w:p>
    <w:tbl>
      <w:tblPr>
        <w:tblW w:w="0" w:type="auto"/>
        <w:tblLayout w:type="fixed"/>
        <w:tblLook w:val="04A0" w:firstRow="1" w:lastRow="0" w:firstColumn="1" w:lastColumn="0" w:noHBand="0" w:noVBand="1"/>
      </w:tblPr>
      <w:tblGrid>
        <w:gridCol w:w="4680"/>
        <w:gridCol w:w="4680"/>
      </w:tblGrid>
      <w:tr xmlns:wp14="http://schemas.microsoft.com/office/word/2010/wordml" w:rsidRPr="00F66EC9" w:rsidR="42F279D8" w:rsidTr="251773A7" w14:paraId="62FC1AFA" wp14:textId="77777777">
        <w:tc>
          <w:tcPr>
            <w:tcW w:w="4680" w:type="dxa"/>
            <w:tcMar/>
          </w:tcPr>
          <w:p w:rsidRPr="00512D28" w:rsidR="42F279D8" w:rsidP="00512D28" w:rsidRDefault="42F279D8" w14:paraId="6F6DF6E9" wp14:textId="77777777">
            <w:pPr>
              <w:spacing w:after="0" w:line="240" w:lineRule="atLeast"/>
              <w:rPr>
                <w:rFonts w:ascii="Arial" w:hAnsi="Arial" w:eastAsia="Arial" w:cs="Arial"/>
                <w:sz w:val="20"/>
                <w:szCs w:val="20"/>
              </w:rPr>
            </w:pPr>
            <w:r w:rsidRPr="00512D28">
              <w:rPr>
                <w:rFonts w:ascii="Arial" w:hAnsi="Arial" w:eastAsia="Arial" w:cs="Arial"/>
                <w:i/>
                <w:iCs/>
                <w:sz w:val="20"/>
                <w:szCs w:val="20"/>
                <w:lang w:val="en-GB"/>
              </w:rPr>
              <w:t>Registered Office:</w:t>
            </w:r>
          </w:p>
          <w:p w:rsidRPr="00512D28" w:rsidR="368692B8" w:rsidP="00512D28" w:rsidRDefault="368692B8" w14:paraId="5255A403" wp14:textId="77777777">
            <w:pPr>
              <w:spacing w:after="0" w:line="240" w:lineRule="atLeast"/>
              <w:rPr>
                <w:rFonts w:ascii="Arial" w:hAnsi="Arial" w:eastAsia="Arial" w:cs="Arial"/>
                <w:sz w:val="20"/>
                <w:szCs w:val="20"/>
                <w:lang w:val="en-GB"/>
              </w:rPr>
            </w:pPr>
            <w:r w:rsidRPr="00512D28">
              <w:rPr>
                <w:rFonts w:ascii="Arial" w:hAnsi="Arial" w:eastAsia="Arial" w:cs="Arial"/>
                <w:sz w:val="20"/>
                <w:szCs w:val="20"/>
                <w:lang w:val="en-GB"/>
              </w:rPr>
              <w:t xml:space="preserve">New Liverpool House </w:t>
            </w:r>
          </w:p>
          <w:p w:rsidRPr="00512D28" w:rsidR="368692B8" w:rsidP="00512D28" w:rsidRDefault="368692B8" w14:paraId="7795BE6E" wp14:textId="77777777">
            <w:pPr>
              <w:spacing w:after="0" w:line="240" w:lineRule="atLeast"/>
              <w:rPr>
                <w:rFonts w:ascii="Arial" w:hAnsi="Arial" w:eastAsia="Arial" w:cs="Arial"/>
                <w:sz w:val="20"/>
                <w:szCs w:val="20"/>
                <w:lang w:val="en-GB"/>
              </w:rPr>
            </w:pPr>
            <w:r w:rsidRPr="00512D28">
              <w:rPr>
                <w:rFonts w:ascii="Arial" w:hAnsi="Arial" w:eastAsia="Arial" w:cs="Arial"/>
                <w:sz w:val="20"/>
                <w:szCs w:val="20"/>
                <w:lang w:val="en-GB"/>
              </w:rPr>
              <w:t>15-17 Eldon Street</w:t>
            </w:r>
          </w:p>
          <w:p w:rsidRPr="00512D28" w:rsidR="368692B8" w:rsidP="00512D28" w:rsidRDefault="368692B8" w14:paraId="55095CD3" wp14:textId="77777777">
            <w:pPr>
              <w:spacing w:after="0" w:line="240" w:lineRule="atLeast"/>
              <w:rPr>
                <w:rFonts w:ascii="Arial" w:hAnsi="Arial" w:eastAsia="Arial" w:cs="Arial"/>
                <w:sz w:val="20"/>
                <w:szCs w:val="20"/>
                <w:lang w:val="en-GB"/>
              </w:rPr>
            </w:pPr>
            <w:r w:rsidRPr="00512D28">
              <w:rPr>
                <w:rFonts w:ascii="Arial" w:hAnsi="Arial" w:eastAsia="Arial" w:cs="Arial"/>
                <w:sz w:val="20"/>
                <w:szCs w:val="20"/>
                <w:lang w:val="en-GB"/>
              </w:rPr>
              <w:t xml:space="preserve">London </w:t>
            </w:r>
          </w:p>
          <w:p w:rsidRPr="004370A7" w:rsidR="42F279D8" w:rsidP="00512D28" w:rsidRDefault="368692B8" w14:paraId="2B2D63FE" wp14:textId="77777777">
            <w:pPr>
              <w:spacing w:after="0" w:line="240" w:lineRule="atLeast"/>
              <w:rPr>
                <w:rFonts w:ascii="Arial" w:hAnsi="Arial" w:eastAsia="Arial" w:cs="Arial"/>
                <w:sz w:val="20"/>
                <w:szCs w:val="20"/>
                <w:lang w:val="en-GB"/>
              </w:rPr>
            </w:pPr>
            <w:r w:rsidRPr="00512D28">
              <w:rPr>
                <w:rFonts w:ascii="Arial" w:hAnsi="Arial" w:eastAsia="Arial" w:cs="Arial"/>
                <w:sz w:val="20"/>
                <w:szCs w:val="20"/>
                <w:lang w:val="en-GB"/>
              </w:rPr>
              <w:t>EC2M 7LD</w:t>
            </w:r>
          </w:p>
          <w:p w:rsidRPr="00512D28" w:rsidR="42F279D8" w:rsidP="00512D28" w:rsidRDefault="42F279D8" w14:paraId="4DDBEF00" wp14:textId="77777777">
            <w:pPr>
              <w:spacing w:after="0" w:line="240" w:lineRule="atLeast"/>
              <w:rPr>
                <w:rFonts w:ascii="Arial" w:hAnsi="Arial" w:eastAsia="Arial" w:cs="Arial"/>
                <w:i/>
                <w:iCs/>
                <w:sz w:val="20"/>
                <w:szCs w:val="20"/>
                <w:lang w:val="en-GB"/>
              </w:rPr>
            </w:pPr>
          </w:p>
          <w:p w:rsidRPr="00512D28" w:rsidR="42F279D8" w:rsidP="00512D28" w:rsidRDefault="42F279D8" w14:paraId="3461D779" wp14:textId="77777777">
            <w:pPr>
              <w:spacing w:after="0" w:line="240" w:lineRule="atLeast"/>
              <w:rPr>
                <w:rFonts w:ascii="Arial" w:hAnsi="Arial" w:eastAsia="Arial" w:cs="Arial"/>
                <w:sz w:val="20"/>
                <w:szCs w:val="20"/>
              </w:rPr>
            </w:pPr>
          </w:p>
        </w:tc>
        <w:tc>
          <w:tcPr>
            <w:tcW w:w="4680" w:type="dxa"/>
            <w:tcMar/>
          </w:tcPr>
          <w:p w:rsidRPr="00512D28" w:rsidR="42F279D8" w:rsidP="00512D28" w:rsidRDefault="42F279D8" w14:paraId="0E596F44" wp14:textId="77777777">
            <w:pPr>
              <w:spacing w:after="0" w:line="240" w:lineRule="atLeast"/>
              <w:jc w:val="right"/>
              <w:rPr>
                <w:rFonts w:ascii="Arial" w:hAnsi="Arial" w:eastAsia="Arial" w:cs="Arial"/>
                <w:sz w:val="20"/>
                <w:szCs w:val="20"/>
              </w:rPr>
            </w:pPr>
            <w:r w:rsidRPr="00512D28">
              <w:rPr>
                <w:rFonts w:ascii="Arial" w:hAnsi="Arial" w:eastAsia="Arial" w:cs="Arial"/>
                <w:b/>
                <w:bCs/>
                <w:sz w:val="20"/>
                <w:szCs w:val="20"/>
                <w:lang w:val="en-GB"/>
              </w:rPr>
              <w:t xml:space="preserve">By Order of the Board </w:t>
            </w:r>
          </w:p>
          <w:p w:rsidRPr="00512D28" w:rsidR="42F279D8" w:rsidP="00512D28" w:rsidRDefault="42F279D8" w14:paraId="3CF2D8B6" wp14:textId="77777777">
            <w:pPr>
              <w:spacing w:after="0" w:line="240" w:lineRule="atLeast"/>
              <w:jc w:val="right"/>
              <w:rPr>
                <w:rFonts w:ascii="Arial" w:hAnsi="Arial" w:eastAsia="Arial" w:cs="Arial"/>
                <w:sz w:val="20"/>
                <w:szCs w:val="20"/>
              </w:rPr>
            </w:pPr>
          </w:p>
          <w:p w:rsidR="00512D28" w:rsidP="00512D28" w:rsidRDefault="00512D28" w14:paraId="7DE9F157" wp14:textId="77777777">
            <w:pPr>
              <w:spacing w:after="0" w:line="240" w:lineRule="atLeast"/>
              <w:jc w:val="right"/>
              <w:rPr>
                <w:rFonts w:ascii="Arial" w:hAnsi="Arial" w:eastAsia="Arial" w:cs="Arial"/>
                <w:i/>
                <w:iCs/>
                <w:sz w:val="20"/>
                <w:szCs w:val="20"/>
                <w:lang w:val="en-GB"/>
              </w:rPr>
            </w:pPr>
            <w:r>
              <w:rPr>
                <w:rFonts w:ascii="Arial" w:hAnsi="Arial" w:eastAsia="Arial" w:cs="Arial"/>
                <w:i/>
                <w:iCs/>
                <w:sz w:val="20"/>
                <w:szCs w:val="20"/>
                <w:lang w:val="en-GB"/>
              </w:rPr>
              <w:t>Marcia Manarin</w:t>
            </w:r>
          </w:p>
          <w:p w:rsidRPr="00512D28" w:rsidR="42F279D8" w:rsidP="00512D28" w:rsidRDefault="00512D28" w14:paraId="26DC0C85" wp14:textId="77777777">
            <w:pPr>
              <w:spacing w:after="0" w:line="240" w:lineRule="atLeast"/>
              <w:jc w:val="right"/>
              <w:rPr>
                <w:rFonts w:ascii="Arial" w:hAnsi="Arial" w:eastAsia="Arial" w:cs="Arial"/>
                <w:sz w:val="20"/>
                <w:szCs w:val="20"/>
              </w:rPr>
            </w:pPr>
            <w:r>
              <w:rPr>
                <w:rFonts w:ascii="Arial" w:hAnsi="Arial" w:eastAsia="Arial" w:cs="Arial"/>
                <w:i/>
                <w:iCs/>
                <w:sz w:val="20"/>
                <w:szCs w:val="20"/>
                <w:lang w:val="en-GB"/>
              </w:rPr>
              <w:t>Company Secretary</w:t>
            </w:r>
          </w:p>
          <w:p w:rsidRPr="00512D28" w:rsidR="42F279D8" w:rsidP="00512D28" w:rsidRDefault="42F279D8" w14:paraId="0FB78278" wp14:textId="77777777">
            <w:pPr>
              <w:spacing w:after="0" w:line="240" w:lineRule="atLeast"/>
              <w:jc w:val="right"/>
              <w:rPr>
                <w:rFonts w:ascii="Arial" w:hAnsi="Arial" w:eastAsia="Arial" w:cs="Arial"/>
                <w:sz w:val="20"/>
                <w:szCs w:val="20"/>
              </w:rPr>
            </w:pPr>
          </w:p>
          <w:p w:rsidRPr="00512D28" w:rsidR="42F279D8" w:rsidP="00512D28" w:rsidRDefault="42F279D8" w14:paraId="1FC39945" wp14:textId="77777777">
            <w:pPr>
              <w:spacing w:after="0" w:line="240" w:lineRule="atLeast"/>
              <w:jc w:val="right"/>
              <w:rPr>
                <w:rFonts w:ascii="Arial" w:hAnsi="Arial" w:eastAsia="Arial" w:cs="Arial"/>
                <w:sz w:val="20"/>
                <w:szCs w:val="20"/>
              </w:rPr>
            </w:pPr>
          </w:p>
          <w:p w:rsidRPr="00512D28" w:rsidR="42F279D8" w:rsidP="00512D28" w:rsidRDefault="42F279D8" w14:paraId="0562CB0E" wp14:textId="77777777">
            <w:pPr>
              <w:spacing w:after="0" w:line="240" w:lineRule="atLeast"/>
              <w:jc w:val="right"/>
              <w:rPr>
                <w:rFonts w:ascii="Arial" w:hAnsi="Arial" w:eastAsia="Arial" w:cs="Arial"/>
                <w:sz w:val="20"/>
                <w:szCs w:val="20"/>
              </w:rPr>
            </w:pPr>
          </w:p>
          <w:p w:rsidRPr="00512D28" w:rsidR="42F279D8" w:rsidP="00512D28" w:rsidRDefault="42F279D8" w14:paraId="34CE0A41" wp14:textId="77777777">
            <w:pPr>
              <w:spacing w:after="0" w:line="240" w:lineRule="atLeast"/>
              <w:rPr>
                <w:rFonts w:ascii="Arial" w:hAnsi="Arial" w:eastAsia="Arial" w:cs="Arial"/>
                <w:sz w:val="20"/>
                <w:szCs w:val="20"/>
              </w:rPr>
            </w:pPr>
          </w:p>
          <w:p w:rsidRPr="00512D28" w:rsidR="42F279D8" w:rsidP="00512D28" w:rsidRDefault="004370A7" w14:paraId="73D5EEBB" wp14:textId="515447E4">
            <w:pPr>
              <w:spacing w:after="0" w:line="240" w:lineRule="atLeast"/>
              <w:jc w:val="right"/>
              <w:rPr>
                <w:rFonts w:ascii="Arial" w:hAnsi="Arial" w:eastAsia="Arial" w:cs="Arial"/>
                <w:sz w:val="20"/>
                <w:szCs w:val="20"/>
                <w:lang w:val="en-GB"/>
              </w:rPr>
            </w:pPr>
            <w:r w:rsidRPr="251773A7" w:rsidR="251773A7">
              <w:rPr>
                <w:rFonts w:ascii="Arial" w:hAnsi="Arial" w:eastAsia="Arial" w:cs="Arial"/>
                <w:sz w:val="20"/>
                <w:szCs w:val="20"/>
                <w:lang w:val="en-GB"/>
              </w:rPr>
              <w:t>15 July 2020</w:t>
            </w:r>
          </w:p>
        </w:tc>
      </w:tr>
    </w:tbl>
    <w:p xmlns:wp14="http://schemas.microsoft.com/office/word/2010/wordml" w:rsidR="00512D28" w:rsidP="42F279D8" w:rsidRDefault="00512D28" w14:paraId="62EBF3C5" wp14:textId="77777777">
      <w:pPr>
        <w:spacing w:line="240" w:lineRule="atLeast"/>
        <w:jc w:val="both"/>
        <w:rPr>
          <w:rFonts w:ascii="Arial" w:hAnsi="Arial" w:cs="Arial"/>
          <w:sz w:val="20"/>
          <w:szCs w:val="20"/>
        </w:rPr>
      </w:pPr>
    </w:p>
    <w:p xmlns:wp14="http://schemas.microsoft.com/office/word/2010/wordml" w:rsidRPr="00512D28" w:rsidR="0C6F54EC" w:rsidP="42F279D8" w:rsidRDefault="0C6F54EC" w14:paraId="6B05B9E2" wp14:textId="77777777">
      <w:pPr>
        <w:spacing w:line="240" w:lineRule="atLeast"/>
        <w:jc w:val="both"/>
        <w:rPr>
          <w:rFonts w:ascii="Arial" w:hAnsi="Arial" w:eastAsia="Arial" w:cs="Arial"/>
          <w:sz w:val="20"/>
          <w:szCs w:val="20"/>
          <w:lang w:val="en-GB"/>
        </w:rPr>
      </w:pPr>
      <w:r w:rsidRPr="00512D28">
        <w:rPr>
          <w:rFonts w:ascii="Arial" w:hAnsi="Arial" w:cs="Arial"/>
          <w:sz w:val="20"/>
          <w:szCs w:val="20"/>
        </w:rPr>
        <w:t xml:space="preserve">NOTES </w:t>
      </w:r>
    </w:p>
    <w:p xmlns:wp14="http://schemas.microsoft.com/office/word/2010/wordml" w:rsidRPr="00202B43" w:rsidR="009564F0" w:rsidP="009564F0" w:rsidRDefault="009564F0" w14:paraId="1530DF72" wp14:textId="77777777">
      <w:pPr>
        <w:pStyle w:val="Default"/>
        <w:jc w:val="both"/>
        <w:rPr>
          <w:rFonts w:ascii="Arial" w:hAnsi="Arial" w:cs="Arial"/>
          <w:b/>
          <w:bCs/>
          <w:sz w:val="20"/>
          <w:szCs w:val="20"/>
          <w:u w:color="000000"/>
        </w:rPr>
      </w:pPr>
      <w:r w:rsidRPr="00202B43">
        <w:rPr>
          <w:rFonts w:ascii="Arial" w:hAnsi="Arial" w:cs="Arial"/>
          <w:b/>
          <w:bCs/>
          <w:sz w:val="20"/>
          <w:szCs w:val="20"/>
          <w:u w:color="000000"/>
        </w:rPr>
        <w:t>PLEASE NOTE THAT THE NOTES BELOW SET OUT THE NORMAL MEETING ATTENDANCE AND PROXY APPOINTMENT RIGHTS OF MEMBERS AS SET OUT IN THE ACT OR THE ARTICLES AND THE COMPANY IS NOT PROPOSING THAT THESE BE ALTERED.  HOWEVER, GIVEN THE UK GOVERNMENT’S MEASURES, DIFFERENT MEETING ATTENDANCE AND PROXY APPOINTMENT RIGHTS OF MEMBERS WILL APPLY IN RESPECT OF THIS AGM.  WE ADVISE THAT YOU NOTE THAT ONLY THE CHAIRMAN CAN BE APPOINTED AS YOUR PROXY FOR THIS PARTICULAR MEETING AND IN ADDITION SHAREHOLDERS CANNOT ATTEND THIS MEETING IN PERSON.</w:t>
      </w:r>
    </w:p>
    <w:p xmlns:wp14="http://schemas.microsoft.com/office/word/2010/wordml" w:rsidR="42F279D8" w:rsidP="42F279D8" w:rsidRDefault="42F279D8" w14:paraId="6D98A12B" wp14:textId="77777777">
      <w:pPr>
        <w:spacing w:line="240" w:lineRule="atLeast"/>
        <w:jc w:val="both"/>
        <w:rPr>
          <w:rFonts w:ascii="Arial" w:hAnsi="Arial" w:eastAsia="Arial" w:cs="Arial"/>
          <w:sz w:val="16"/>
          <w:szCs w:val="16"/>
          <w:lang w:val="en-GB"/>
        </w:rPr>
      </w:pPr>
    </w:p>
    <w:p xmlns:wp14="http://schemas.microsoft.com/office/word/2010/wordml" w:rsidR="42F279D8" w:rsidP="42F279D8" w:rsidRDefault="0C6F54EC" w14:paraId="53C3823C" wp14:textId="77777777">
      <w:pPr>
        <w:pStyle w:val="ListParagraph"/>
        <w:numPr>
          <w:ilvl w:val="0"/>
          <w:numId w:val="3"/>
        </w:numPr>
        <w:spacing w:line="240" w:lineRule="atLeast"/>
        <w:jc w:val="both"/>
        <w:rPr>
          <w:rFonts w:ascii="Arial" w:hAnsi="Arial" w:eastAsia="Arial" w:cs="Arial"/>
          <w:sz w:val="16"/>
          <w:szCs w:val="16"/>
          <w:lang w:val="en-GB"/>
        </w:rPr>
      </w:pPr>
      <w:r w:rsidRPr="00512D28">
        <w:rPr>
          <w:rFonts w:ascii="Arial" w:hAnsi="Arial" w:eastAsia="Arial" w:cs="Arial"/>
          <w:sz w:val="16"/>
          <w:szCs w:val="16"/>
          <w:lang w:val="en-GB"/>
        </w:rPr>
        <w:t xml:space="preserve">A member of the Company entitled to attend and vote at the AGM is entitled to appoint </w:t>
      </w:r>
      <w:r w:rsidRPr="00512D28" w:rsidR="00512D28">
        <w:rPr>
          <w:rFonts w:ascii="Arial" w:hAnsi="Arial" w:eastAsia="Arial" w:cs="Arial"/>
          <w:sz w:val="16"/>
          <w:szCs w:val="16"/>
          <w:lang w:val="en-GB"/>
        </w:rPr>
        <w:t>the Chairman of the meeting as his/her proxy</w:t>
      </w:r>
      <w:r w:rsidRPr="00512D28">
        <w:rPr>
          <w:rFonts w:ascii="Arial" w:hAnsi="Arial" w:eastAsia="Arial" w:cs="Arial"/>
          <w:sz w:val="16"/>
          <w:szCs w:val="16"/>
          <w:lang w:val="en-GB"/>
        </w:rPr>
        <w:t xml:space="preserve"> and, on a poll, vote instead of him</w:t>
      </w:r>
      <w:r w:rsidRPr="00512D28" w:rsidR="00512D28">
        <w:rPr>
          <w:rFonts w:ascii="Arial" w:hAnsi="Arial" w:eastAsia="Arial" w:cs="Arial"/>
          <w:sz w:val="16"/>
          <w:szCs w:val="16"/>
          <w:lang w:val="en-GB"/>
        </w:rPr>
        <w:t>/her</w:t>
      </w:r>
      <w:r w:rsidRPr="00512D28">
        <w:rPr>
          <w:rFonts w:ascii="Arial" w:hAnsi="Arial" w:eastAsia="Arial" w:cs="Arial"/>
          <w:sz w:val="16"/>
          <w:szCs w:val="16"/>
          <w:lang w:val="en-GB"/>
        </w:rPr>
        <w:t xml:space="preserve">. </w:t>
      </w:r>
    </w:p>
    <w:p xmlns:wp14="http://schemas.microsoft.com/office/word/2010/wordml" w:rsidRPr="00F66EC9" w:rsidR="0C6F54EC" w:rsidP="42F279D8" w:rsidRDefault="0C6F54EC" w14:paraId="5EA7AF97" wp14:textId="77777777" wp14:noSpellErr="1">
      <w:pPr>
        <w:pStyle w:val="ListParagraph"/>
        <w:numPr>
          <w:ilvl w:val="0"/>
          <w:numId w:val="3"/>
        </w:numPr>
        <w:spacing w:line="240" w:lineRule="atLeast"/>
        <w:jc w:val="both"/>
        <w:rPr>
          <w:rFonts w:ascii="Arial" w:hAnsi="Arial" w:eastAsia="Times New Roman" w:cs="Arial"/>
          <w:sz w:val="16"/>
          <w:szCs w:val="16"/>
          <w:lang w:val="en-GB"/>
        </w:rPr>
      </w:pPr>
      <w:r w:rsidRPr="251773A7" w:rsidR="251773A7">
        <w:rPr>
          <w:rFonts w:ascii="Arial" w:hAnsi="Arial" w:eastAsia="Arial" w:cs="Arial"/>
          <w:sz w:val="16"/>
          <w:szCs w:val="16"/>
          <w:lang w:val="en-GB"/>
        </w:rPr>
        <w:t xml:space="preserve">A Form of Proxy is enclosed with this Notice for use in connection with this business set out above. To be valid, Forms of Proxy and any power of attorney or other authority under which it is signed must be lodged with the Company’s Registrars, Neville Registrars, at Neville House, Steelpark Road, Halesowen B62 8HD not later than 48 hours (excluding non-working days) prior to the time fixed for the AGM. </w:t>
      </w:r>
    </w:p>
    <w:p xmlns:wp14="http://schemas.microsoft.com/office/word/2010/wordml" w:rsidRPr="00F66EC9" w:rsidR="0C6F54EC" w:rsidP="42F279D8" w:rsidRDefault="0C6F54EC" w14:paraId="7743B786" wp14:textId="77777777">
      <w:pPr>
        <w:pStyle w:val="ListParagraph"/>
        <w:numPr>
          <w:ilvl w:val="0"/>
          <w:numId w:val="3"/>
        </w:numPr>
        <w:spacing w:line="240" w:lineRule="atLeast"/>
        <w:jc w:val="both"/>
        <w:rPr>
          <w:rFonts w:ascii="Arial" w:hAnsi="Arial" w:eastAsia="Times New Roman" w:cs="Arial"/>
          <w:sz w:val="16"/>
          <w:szCs w:val="16"/>
          <w:lang w:val="en-GB"/>
        </w:rPr>
      </w:pPr>
      <w:r w:rsidRPr="00512D28">
        <w:rPr>
          <w:rFonts w:ascii="Arial" w:hAnsi="Arial" w:eastAsia="Arial" w:cs="Arial"/>
          <w:sz w:val="16"/>
          <w:szCs w:val="16"/>
          <w:lang w:val="en-GB"/>
        </w:rPr>
        <w:t xml:space="preserve">In the case of joint holders of Ordinary Shares, the signature of only one of the joint holders is required on the Form of Proxy but the vote of the first named on the register of members will be accepted to the exclusion of the other joint holders. </w:t>
      </w:r>
    </w:p>
    <w:p xmlns:wp14="http://schemas.microsoft.com/office/word/2010/wordml" w:rsidRPr="00F66EC9" w:rsidR="0C6F54EC" w:rsidP="52133E97" w:rsidRDefault="0C6F54EC" w14:paraId="32BD0161" wp14:textId="26EAD91C">
      <w:pPr>
        <w:pStyle w:val="ListParagraph"/>
        <w:numPr>
          <w:ilvl w:val="0"/>
          <w:numId w:val="3"/>
        </w:numPr>
        <w:spacing w:line="240" w:lineRule="atLeast"/>
        <w:jc w:val="both"/>
        <w:rPr>
          <w:rFonts w:ascii="Arial" w:hAnsi="Arial" w:eastAsia="Times New Roman" w:cs="Arial"/>
          <w:sz w:val="16"/>
          <w:szCs w:val="16"/>
          <w:lang w:val="en-GB"/>
        </w:rPr>
      </w:pPr>
      <w:r w:rsidRPr="251773A7" w:rsidR="251773A7">
        <w:rPr>
          <w:rFonts w:ascii="Arial" w:hAnsi="Arial" w:eastAsia="Arial" w:cs="Arial"/>
          <w:sz w:val="16"/>
          <w:szCs w:val="16"/>
          <w:lang w:val="en-GB"/>
        </w:rPr>
        <w:t xml:space="preserve">To be entitled to vote at the AGM (and for the purpose of the determination by the Company of the votes they may cast), a member of the Company must be entered in the register of members of the Company at close of business on 6 August 2020. </w:t>
      </w:r>
    </w:p>
    <w:sectPr w:rsidRPr="00F66EC9" w:rsidR="0C6F54EC" w:rsidSect="004370A7">
      <w:pgSz w:w="12240" w:h="15840" w:orient="portrait"/>
      <w:pgMar w:top="1440" w:right="144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E14B0"/>
    <w:multiLevelType w:val="multilevel"/>
    <w:tmpl w:val="E186804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2B9B0CA3"/>
    <w:multiLevelType w:val="hybridMultilevel"/>
    <w:tmpl w:val="FA74D7DA"/>
    <w:lvl w:ilvl="0" w:tplc="7BCCB318">
      <w:start w:val="1"/>
      <w:numFmt w:val="lowerRoman"/>
      <w:lvlText w:val="%1."/>
      <w:lvlJc w:val="left"/>
      <w:pPr>
        <w:ind w:left="720" w:hanging="360"/>
      </w:pPr>
    </w:lvl>
    <w:lvl w:ilvl="1" w:tplc="37701974">
      <w:start w:val="1"/>
      <w:numFmt w:val="lowerLetter"/>
      <w:lvlText w:val="%2."/>
      <w:lvlJc w:val="left"/>
      <w:pPr>
        <w:ind w:left="1440" w:hanging="360"/>
      </w:pPr>
    </w:lvl>
    <w:lvl w:ilvl="2" w:tplc="F732BB3A">
      <w:start w:val="1"/>
      <w:numFmt w:val="lowerRoman"/>
      <w:lvlText w:val="%3."/>
      <w:lvlJc w:val="right"/>
      <w:pPr>
        <w:ind w:left="2160" w:hanging="180"/>
      </w:pPr>
    </w:lvl>
    <w:lvl w:ilvl="3" w:tplc="1046B982">
      <w:start w:val="1"/>
      <w:numFmt w:val="decimal"/>
      <w:lvlText w:val="%4."/>
      <w:lvlJc w:val="left"/>
      <w:pPr>
        <w:ind w:left="2880" w:hanging="360"/>
      </w:pPr>
    </w:lvl>
    <w:lvl w:ilvl="4" w:tplc="2D044E9C">
      <w:start w:val="1"/>
      <w:numFmt w:val="lowerLetter"/>
      <w:lvlText w:val="%5."/>
      <w:lvlJc w:val="left"/>
      <w:pPr>
        <w:ind w:left="3600" w:hanging="360"/>
      </w:pPr>
    </w:lvl>
    <w:lvl w:ilvl="5" w:tplc="0F628980">
      <w:start w:val="1"/>
      <w:numFmt w:val="lowerRoman"/>
      <w:lvlText w:val="%6."/>
      <w:lvlJc w:val="right"/>
      <w:pPr>
        <w:ind w:left="4320" w:hanging="180"/>
      </w:pPr>
    </w:lvl>
    <w:lvl w:ilvl="6" w:tplc="58147088">
      <w:start w:val="1"/>
      <w:numFmt w:val="decimal"/>
      <w:lvlText w:val="%7."/>
      <w:lvlJc w:val="left"/>
      <w:pPr>
        <w:ind w:left="5040" w:hanging="360"/>
      </w:pPr>
    </w:lvl>
    <w:lvl w:ilvl="7" w:tplc="A02C302E">
      <w:start w:val="1"/>
      <w:numFmt w:val="lowerLetter"/>
      <w:lvlText w:val="%8."/>
      <w:lvlJc w:val="left"/>
      <w:pPr>
        <w:ind w:left="5760" w:hanging="360"/>
      </w:pPr>
    </w:lvl>
    <w:lvl w:ilvl="8" w:tplc="B5669544">
      <w:start w:val="1"/>
      <w:numFmt w:val="lowerRoman"/>
      <w:lvlText w:val="%9."/>
      <w:lvlJc w:val="right"/>
      <w:pPr>
        <w:ind w:left="6480" w:hanging="180"/>
      </w:pPr>
    </w:lvl>
  </w:abstractNum>
  <w:abstractNum w:abstractNumId="2" w15:restartNumberingAfterBreak="0">
    <w:nsid w:val="39EF4216"/>
    <w:multiLevelType w:val="multilevel"/>
    <w:tmpl w:val="EF845FA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62801808"/>
    <w:multiLevelType w:val="hybridMultilevel"/>
    <w:tmpl w:val="47C817FC"/>
    <w:lvl w:ilvl="0" w:tplc="85081BB4">
      <w:start w:val="1"/>
      <w:numFmt w:val="decimal"/>
      <w:lvlText w:val="(%1)"/>
      <w:lvlJc w:val="left"/>
      <w:pPr>
        <w:ind w:left="720" w:hanging="360"/>
      </w:pPr>
    </w:lvl>
    <w:lvl w:ilvl="1" w:tplc="510C9A5C">
      <w:start w:val="1"/>
      <w:numFmt w:val="lowerLetter"/>
      <w:lvlText w:val="%2."/>
      <w:lvlJc w:val="left"/>
      <w:pPr>
        <w:ind w:left="1440" w:hanging="360"/>
      </w:pPr>
    </w:lvl>
    <w:lvl w:ilvl="2" w:tplc="68D63EEA">
      <w:start w:val="1"/>
      <w:numFmt w:val="lowerRoman"/>
      <w:lvlText w:val="%3."/>
      <w:lvlJc w:val="right"/>
      <w:pPr>
        <w:ind w:left="2160" w:hanging="180"/>
      </w:pPr>
    </w:lvl>
    <w:lvl w:ilvl="3" w:tplc="EC0E8B4A">
      <w:start w:val="1"/>
      <w:numFmt w:val="decimal"/>
      <w:lvlText w:val="%4."/>
      <w:lvlJc w:val="left"/>
      <w:pPr>
        <w:ind w:left="2880" w:hanging="360"/>
      </w:pPr>
    </w:lvl>
    <w:lvl w:ilvl="4" w:tplc="1D964D5A">
      <w:start w:val="1"/>
      <w:numFmt w:val="lowerLetter"/>
      <w:lvlText w:val="%5."/>
      <w:lvlJc w:val="left"/>
      <w:pPr>
        <w:ind w:left="3600" w:hanging="360"/>
      </w:pPr>
    </w:lvl>
    <w:lvl w:ilvl="5" w:tplc="DD720DA2">
      <w:start w:val="1"/>
      <w:numFmt w:val="lowerRoman"/>
      <w:lvlText w:val="%6."/>
      <w:lvlJc w:val="right"/>
      <w:pPr>
        <w:ind w:left="4320" w:hanging="180"/>
      </w:pPr>
    </w:lvl>
    <w:lvl w:ilvl="6" w:tplc="578E48C0">
      <w:start w:val="1"/>
      <w:numFmt w:val="decimal"/>
      <w:lvlText w:val="%7."/>
      <w:lvlJc w:val="left"/>
      <w:pPr>
        <w:ind w:left="5040" w:hanging="360"/>
      </w:pPr>
    </w:lvl>
    <w:lvl w:ilvl="7" w:tplc="728AA608">
      <w:start w:val="1"/>
      <w:numFmt w:val="lowerLetter"/>
      <w:lvlText w:val="%8."/>
      <w:lvlJc w:val="left"/>
      <w:pPr>
        <w:ind w:left="5760" w:hanging="360"/>
      </w:pPr>
    </w:lvl>
    <w:lvl w:ilvl="8" w:tplc="103ACA00">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90"/>
  <w:trackRevisions w:val="tru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D32627"/>
    <w:rsid w:val="00024965"/>
    <w:rsid w:val="0006500E"/>
    <w:rsid w:val="000E0ADB"/>
    <w:rsid w:val="0023346C"/>
    <w:rsid w:val="003313CB"/>
    <w:rsid w:val="004126FD"/>
    <w:rsid w:val="004370A7"/>
    <w:rsid w:val="00452D52"/>
    <w:rsid w:val="00512D28"/>
    <w:rsid w:val="006422D6"/>
    <w:rsid w:val="00955E5C"/>
    <w:rsid w:val="009564F0"/>
    <w:rsid w:val="009B7464"/>
    <w:rsid w:val="00AC3519"/>
    <w:rsid w:val="00D52FF5"/>
    <w:rsid w:val="00EC0A53"/>
    <w:rsid w:val="00EE07BD"/>
    <w:rsid w:val="00F66EC9"/>
    <w:rsid w:val="00FA6A31"/>
    <w:rsid w:val="00FF4203"/>
    <w:rsid w:val="01BA4473"/>
    <w:rsid w:val="0341DBCC"/>
    <w:rsid w:val="0398D34B"/>
    <w:rsid w:val="03DD994B"/>
    <w:rsid w:val="045485DE"/>
    <w:rsid w:val="0544FEBA"/>
    <w:rsid w:val="055EE552"/>
    <w:rsid w:val="057861E5"/>
    <w:rsid w:val="057C23DC"/>
    <w:rsid w:val="061CC8C5"/>
    <w:rsid w:val="0675FE26"/>
    <w:rsid w:val="0696985A"/>
    <w:rsid w:val="0825183A"/>
    <w:rsid w:val="09456C56"/>
    <w:rsid w:val="099FE254"/>
    <w:rsid w:val="09EB44F8"/>
    <w:rsid w:val="0A50210E"/>
    <w:rsid w:val="0A8588D9"/>
    <w:rsid w:val="0B5B71B3"/>
    <w:rsid w:val="0C00972D"/>
    <w:rsid w:val="0C6F54EC"/>
    <w:rsid w:val="0CF0C124"/>
    <w:rsid w:val="0ED35E7B"/>
    <w:rsid w:val="0EDD2274"/>
    <w:rsid w:val="0EFDB8F3"/>
    <w:rsid w:val="0F48432B"/>
    <w:rsid w:val="0F5BCDF1"/>
    <w:rsid w:val="0F9F49E8"/>
    <w:rsid w:val="0FC0CE1E"/>
    <w:rsid w:val="116D7D08"/>
    <w:rsid w:val="1171DA8B"/>
    <w:rsid w:val="11AEB27A"/>
    <w:rsid w:val="1251BB7A"/>
    <w:rsid w:val="12B64FDF"/>
    <w:rsid w:val="13E56C54"/>
    <w:rsid w:val="13FE8185"/>
    <w:rsid w:val="159530E5"/>
    <w:rsid w:val="15BD1240"/>
    <w:rsid w:val="15BEB737"/>
    <w:rsid w:val="16987479"/>
    <w:rsid w:val="17BE26B4"/>
    <w:rsid w:val="186B3BCD"/>
    <w:rsid w:val="19125140"/>
    <w:rsid w:val="19439C4A"/>
    <w:rsid w:val="1A2550E0"/>
    <w:rsid w:val="1AEB5878"/>
    <w:rsid w:val="1B5D54EE"/>
    <w:rsid w:val="1B929D82"/>
    <w:rsid w:val="1BF775E3"/>
    <w:rsid w:val="1BFFBC15"/>
    <w:rsid w:val="1C09E35F"/>
    <w:rsid w:val="1C68BB18"/>
    <w:rsid w:val="1DD32627"/>
    <w:rsid w:val="21663FDA"/>
    <w:rsid w:val="217EB20E"/>
    <w:rsid w:val="221CF380"/>
    <w:rsid w:val="22656FC9"/>
    <w:rsid w:val="22D05A70"/>
    <w:rsid w:val="22FA9FB2"/>
    <w:rsid w:val="22FCE9D3"/>
    <w:rsid w:val="2310B697"/>
    <w:rsid w:val="23388DB2"/>
    <w:rsid w:val="23A03A2F"/>
    <w:rsid w:val="23A44A0B"/>
    <w:rsid w:val="245E19DE"/>
    <w:rsid w:val="251773A7"/>
    <w:rsid w:val="264052E7"/>
    <w:rsid w:val="267652F1"/>
    <w:rsid w:val="271DDD53"/>
    <w:rsid w:val="27BBC714"/>
    <w:rsid w:val="287AB453"/>
    <w:rsid w:val="29E8356A"/>
    <w:rsid w:val="2A2ACE40"/>
    <w:rsid w:val="2A33DD48"/>
    <w:rsid w:val="2B610415"/>
    <w:rsid w:val="2C19ED7B"/>
    <w:rsid w:val="2C6CBF9E"/>
    <w:rsid w:val="2CAED9BC"/>
    <w:rsid w:val="2D05C5B6"/>
    <w:rsid w:val="2E08D463"/>
    <w:rsid w:val="2E217321"/>
    <w:rsid w:val="2E5FA922"/>
    <w:rsid w:val="2E96309A"/>
    <w:rsid w:val="2F5294F4"/>
    <w:rsid w:val="2F6BABA5"/>
    <w:rsid w:val="2FC599CC"/>
    <w:rsid w:val="325E48D3"/>
    <w:rsid w:val="32B23084"/>
    <w:rsid w:val="32FB2F7D"/>
    <w:rsid w:val="338525A6"/>
    <w:rsid w:val="33B5A9C0"/>
    <w:rsid w:val="348DF89F"/>
    <w:rsid w:val="35DF509B"/>
    <w:rsid w:val="368692B8"/>
    <w:rsid w:val="371B6876"/>
    <w:rsid w:val="3724A5F4"/>
    <w:rsid w:val="37E93726"/>
    <w:rsid w:val="382B4581"/>
    <w:rsid w:val="38EFEA79"/>
    <w:rsid w:val="3958208E"/>
    <w:rsid w:val="3A42220B"/>
    <w:rsid w:val="3B8A1ED2"/>
    <w:rsid w:val="3CF1B54D"/>
    <w:rsid w:val="3D4DD8DC"/>
    <w:rsid w:val="3D98B85E"/>
    <w:rsid w:val="3DF96513"/>
    <w:rsid w:val="3EE513D7"/>
    <w:rsid w:val="3F2A52D1"/>
    <w:rsid w:val="3F9E7D80"/>
    <w:rsid w:val="3FB4E332"/>
    <w:rsid w:val="3FC9C4A9"/>
    <w:rsid w:val="40F98FD3"/>
    <w:rsid w:val="427F9CE0"/>
    <w:rsid w:val="42D6E4F7"/>
    <w:rsid w:val="42F279D8"/>
    <w:rsid w:val="432F8218"/>
    <w:rsid w:val="43EAB5AE"/>
    <w:rsid w:val="444A0D84"/>
    <w:rsid w:val="44F7B220"/>
    <w:rsid w:val="453758D7"/>
    <w:rsid w:val="47E8772B"/>
    <w:rsid w:val="48053F1E"/>
    <w:rsid w:val="48124D29"/>
    <w:rsid w:val="4921CCD5"/>
    <w:rsid w:val="4960A3A7"/>
    <w:rsid w:val="49811EEE"/>
    <w:rsid w:val="49FA9005"/>
    <w:rsid w:val="49FEA572"/>
    <w:rsid w:val="4A70F15B"/>
    <w:rsid w:val="4AA6E990"/>
    <w:rsid w:val="4B342871"/>
    <w:rsid w:val="4C4AFBC9"/>
    <w:rsid w:val="4CB7F775"/>
    <w:rsid w:val="4D52906D"/>
    <w:rsid w:val="4EA1192A"/>
    <w:rsid w:val="4ED2DEE9"/>
    <w:rsid w:val="4EDA0E49"/>
    <w:rsid w:val="4FBCDC87"/>
    <w:rsid w:val="50393ECB"/>
    <w:rsid w:val="50E6426F"/>
    <w:rsid w:val="51609EEB"/>
    <w:rsid w:val="51F45C20"/>
    <w:rsid w:val="52133E97"/>
    <w:rsid w:val="5323E4FA"/>
    <w:rsid w:val="5350C752"/>
    <w:rsid w:val="54A030A5"/>
    <w:rsid w:val="58443CCA"/>
    <w:rsid w:val="588ADFE1"/>
    <w:rsid w:val="592A30AC"/>
    <w:rsid w:val="598EA584"/>
    <w:rsid w:val="5A38E893"/>
    <w:rsid w:val="5AA4CBBD"/>
    <w:rsid w:val="5AF95E0A"/>
    <w:rsid w:val="5CB5C3B8"/>
    <w:rsid w:val="5D70FE3E"/>
    <w:rsid w:val="5E9D5A1B"/>
    <w:rsid w:val="5F15A07C"/>
    <w:rsid w:val="5FA8413A"/>
    <w:rsid w:val="5FDD1DB1"/>
    <w:rsid w:val="5FF78A2D"/>
    <w:rsid w:val="600C45C2"/>
    <w:rsid w:val="60B80512"/>
    <w:rsid w:val="615514FE"/>
    <w:rsid w:val="61B6BC09"/>
    <w:rsid w:val="6307BA43"/>
    <w:rsid w:val="634AA330"/>
    <w:rsid w:val="6395AAD0"/>
    <w:rsid w:val="65071D69"/>
    <w:rsid w:val="650A6090"/>
    <w:rsid w:val="66053729"/>
    <w:rsid w:val="6681E584"/>
    <w:rsid w:val="671F3705"/>
    <w:rsid w:val="6739C056"/>
    <w:rsid w:val="6AA9DD1A"/>
    <w:rsid w:val="6B01BA84"/>
    <w:rsid w:val="6B5CC5E4"/>
    <w:rsid w:val="6BA1532F"/>
    <w:rsid w:val="6BC9EB02"/>
    <w:rsid w:val="6C1135D3"/>
    <w:rsid w:val="6C189535"/>
    <w:rsid w:val="6CAE9015"/>
    <w:rsid w:val="6CB3A4C0"/>
    <w:rsid w:val="6CCEBE31"/>
    <w:rsid w:val="6CFA5DEB"/>
    <w:rsid w:val="6D1B5E3F"/>
    <w:rsid w:val="6FCFE78D"/>
    <w:rsid w:val="7031938F"/>
    <w:rsid w:val="70742DD8"/>
    <w:rsid w:val="70EA8E27"/>
    <w:rsid w:val="70F5A586"/>
    <w:rsid w:val="72B607E7"/>
    <w:rsid w:val="72D4188F"/>
    <w:rsid w:val="72E55D92"/>
    <w:rsid w:val="73B4C31E"/>
    <w:rsid w:val="73E785F2"/>
    <w:rsid w:val="74199F69"/>
    <w:rsid w:val="744C533A"/>
    <w:rsid w:val="749C1B10"/>
    <w:rsid w:val="74C0EAC6"/>
    <w:rsid w:val="74D2CCD9"/>
    <w:rsid w:val="74DFC549"/>
    <w:rsid w:val="753B2B7E"/>
    <w:rsid w:val="7659FAEF"/>
    <w:rsid w:val="76CBF31F"/>
    <w:rsid w:val="76D5A4F8"/>
    <w:rsid w:val="7872BB8C"/>
    <w:rsid w:val="78D6C299"/>
    <w:rsid w:val="78E687B0"/>
    <w:rsid w:val="79C929E7"/>
    <w:rsid w:val="7BE0CF6D"/>
    <w:rsid w:val="7C10BA7D"/>
    <w:rsid w:val="7C8D49DA"/>
    <w:rsid w:val="7CA47283"/>
    <w:rsid w:val="7CC07935"/>
    <w:rsid w:val="7D779CA0"/>
    <w:rsid w:val="7DB48831"/>
    <w:rsid w:val="7E8A391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B399AF9-2799-426B-BB56-29FF6F65ADA2}"/>
  <w14:docId w14:val="41776E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ListParagraph">
    <w:name w:val="List Paragraph"/>
    <w:basedOn w:val="Normal"/>
    <w:uiPriority w:val="34"/>
    <w:qFormat/>
    <w:pPr>
      <w:ind w:left="720"/>
      <w:contextualSpacing/>
    </w:pPr>
  </w:style>
  <w:style w:type="character" w:styleId="Hyperlink">
    <w:name w:val="Hyperlink"/>
    <w:uiPriority w:val="99"/>
    <w:unhideWhenUsed/>
    <w:rPr>
      <w:color w:val="0563C1"/>
      <w:u w:val="single"/>
    </w:rPr>
  </w:style>
  <w:style w:type="paragraph" w:styleId="BalloonText">
    <w:name w:val="Balloon Text"/>
    <w:basedOn w:val="Normal"/>
    <w:link w:val="BalloonTextChar"/>
    <w:uiPriority w:val="99"/>
    <w:semiHidden/>
    <w:unhideWhenUsed/>
    <w:rsid w:val="009564F0"/>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9564F0"/>
    <w:rPr>
      <w:rFonts w:ascii="Tahoma" w:hAnsi="Tahoma" w:cs="Tahoma"/>
      <w:sz w:val="16"/>
      <w:szCs w:val="16"/>
      <w:lang w:val="en-US" w:eastAsia="en-US"/>
    </w:rPr>
  </w:style>
  <w:style w:type="paragraph" w:styleId="Default" w:customStyle="1">
    <w:name w:val="Default"/>
    <w:rsid w:val="009564F0"/>
    <w:pPr>
      <w:pBdr>
        <w:top w:val="nil"/>
        <w:left w:val="nil"/>
        <w:bottom w:val="nil"/>
        <w:right w:val="nil"/>
        <w:between w:val="nil"/>
        <w:bar w:val="nil"/>
      </w:pBdr>
    </w:pPr>
    <w:rPr>
      <w:rFonts w:ascii="Helvetica Neue" w:hAnsi="Helvetica Neue" w:eastAsia="Arial Unicode MS" w:cs="Arial Unicode MS"/>
      <w:color w:val="000000"/>
      <w:sz w:val="22"/>
      <w:szCs w:val="22"/>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hyperlink" Target="http://www.aiqhub.com/" TargetMode="Externa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902789B5150544B9D3430E3AB56A54" ma:contentTypeVersion="12" ma:contentTypeDescription="Create a new document." ma:contentTypeScope="" ma:versionID="7e0d006146607c5b01c0148eadb79dc7">
  <xsd:schema xmlns:xsd="http://www.w3.org/2001/XMLSchema" xmlns:xs="http://www.w3.org/2001/XMLSchema" xmlns:p="http://schemas.microsoft.com/office/2006/metadata/properties" xmlns:ns2="9eaf5c2d-4127-48ef-b34b-d204a0b13635" xmlns:ns3="cde02c00-95f3-43a1-a8e3-c976a5c03504" targetNamespace="http://schemas.microsoft.com/office/2006/metadata/properties" ma:root="true" ma:fieldsID="ea6b14b2ff9fa2b3967650f5e3d8c65c" ns2:_="" ns3:_="">
    <xsd:import namespace="9eaf5c2d-4127-48ef-b34b-d204a0b13635"/>
    <xsd:import namespace="cde02c00-95f3-43a1-a8e3-c976a5c035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5c2d-4127-48ef-b34b-d204a0b1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e02c00-95f3-43a1-a8e3-c976a5c0350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DF7ADA-FE1D-44FC-A945-1F1ACB08DB4E}">
  <ds:schemaRefs>
    <ds:schemaRef ds:uri="http://schemas.microsoft.com/sharepoint/v3/contenttype/forms"/>
  </ds:schemaRefs>
</ds:datastoreItem>
</file>

<file path=customXml/itemProps2.xml><?xml version="1.0" encoding="utf-8"?>
<ds:datastoreItem xmlns:ds="http://schemas.openxmlformats.org/officeDocument/2006/customXml" ds:itemID="{CFD39DFF-AF8A-4401-BEEA-971DA570D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5c2d-4127-48ef-b34b-d204a0b13635"/>
    <ds:schemaRef ds:uri="cde02c00-95f3-43a1-a8e3-c976a5c03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Urquhart</dc:creator>
  <keywords/>
  <lastModifiedBy>Sean Urquhart</lastModifiedBy>
  <revision>3</revision>
  <dcterms:created xsi:type="dcterms:W3CDTF">2020-07-14T13:44:00.0000000Z</dcterms:created>
  <dcterms:modified xsi:type="dcterms:W3CDTF">2020-07-14T13:45:13.1666982Z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0x0101004F902789B5150544B9D3430E3AB56A54</vt:lpwstr>
  </property>
</Properties>
</file>