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31E99" w14:textId="77777777" w:rsidR="006C15D0" w:rsidRPr="001443FA" w:rsidRDefault="006C15D0" w:rsidP="006C15D0">
      <w:pPr>
        <w:pStyle w:val="ds"/>
        <w:spacing w:before="0" w:beforeAutospacing="0" w:after="120" w:afterAutospacing="0"/>
        <w:jc w:val="both"/>
        <w:rPr>
          <w:rFonts w:asciiTheme="minorHAnsi" w:eastAsiaTheme="minorEastAsia" w:hAnsiTheme="minorHAnsi"/>
          <w:b/>
          <w:sz w:val="16"/>
          <w:szCs w:val="16"/>
          <w:lang w:eastAsia="en-US"/>
        </w:rPr>
      </w:pPr>
      <w:r w:rsidRPr="001443FA">
        <w:rPr>
          <w:rFonts w:asciiTheme="minorHAnsi" w:eastAsiaTheme="minorEastAsia" w:hAnsiTheme="minorHAnsi"/>
          <w:b/>
          <w:sz w:val="16"/>
          <w:szCs w:val="16"/>
          <w:lang w:eastAsia="en-US"/>
        </w:rPr>
        <w:t>NOT FOR RELEASE, PUBLICATION OR DISTRIBUTION, DIRECTLY OR INDIRECTLY, WITHIN, INTO OR IN THE UNITED STATES, AUSTRALIA, CANADA, THE REPUBLIC OF SOUTH AFRICA, THE REPUBLIC OF IRELAND OR JAPAN.</w:t>
      </w:r>
    </w:p>
    <w:p w14:paraId="3ED9AD6C" w14:textId="53E82722" w:rsidR="006C15D0" w:rsidRPr="005A099F" w:rsidRDefault="006C15D0" w:rsidP="006C15D0">
      <w:pPr>
        <w:pStyle w:val="ds"/>
        <w:spacing w:before="0" w:beforeAutospacing="0" w:after="120" w:afterAutospacing="0"/>
        <w:jc w:val="both"/>
      </w:pPr>
      <w:r w:rsidRPr="001443FA">
        <w:rPr>
          <w:rStyle w:val="cy"/>
          <w:rFonts w:asciiTheme="minorHAnsi" w:hAnsiTheme="minorHAnsi"/>
          <w:b/>
          <w:sz w:val="16"/>
          <w:szCs w:val="16"/>
        </w:rPr>
        <w:t xml:space="preserve">This announcement is an advertisement and not a prospectus. Neither this announcement nor anything contained herein shall form the basis of, or be relied upon in connection with, any offer or commitment whatsoever in any jurisdiction. Investors should not purchase or subscribe for any transferable securities referred to in this announcement except on the basis of information contained in </w:t>
      </w:r>
      <w:r w:rsidR="008A2F67">
        <w:rPr>
          <w:rStyle w:val="cy"/>
          <w:rFonts w:asciiTheme="minorHAnsi" w:hAnsiTheme="minorHAnsi"/>
          <w:b/>
          <w:sz w:val="16"/>
          <w:szCs w:val="16"/>
        </w:rPr>
        <w:t>the</w:t>
      </w:r>
      <w:r w:rsidR="008A2F67" w:rsidRPr="001443FA">
        <w:rPr>
          <w:rStyle w:val="cy"/>
          <w:rFonts w:asciiTheme="minorHAnsi" w:hAnsiTheme="minorHAnsi"/>
          <w:b/>
          <w:sz w:val="16"/>
          <w:szCs w:val="16"/>
        </w:rPr>
        <w:t xml:space="preserve"> </w:t>
      </w:r>
      <w:r w:rsidRPr="001443FA">
        <w:rPr>
          <w:rStyle w:val="cy"/>
          <w:rFonts w:asciiTheme="minorHAnsi" w:hAnsiTheme="minorHAnsi"/>
          <w:b/>
          <w:sz w:val="16"/>
          <w:szCs w:val="16"/>
        </w:rPr>
        <w:t xml:space="preserve">prospectus </w:t>
      </w:r>
      <w:r w:rsidR="005D2ED5">
        <w:rPr>
          <w:rStyle w:val="cy"/>
          <w:rFonts w:asciiTheme="minorHAnsi" w:hAnsiTheme="minorHAnsi"/>
          <w:b/>
          <w:sz w:val="16"/>
          <w:szCs w:val="16"/>
        </w:rPr>
        <w:t xml:space="preserve">dated 2 </w:t>
      </w:r>
      <w:r w:rsidR="00E346E7">
        <w:rPr>
          <w:rStyle w:val="cy"/>
          <w:rFonts w:asciiTheme="minorHAnsi" w:hAnsiTheme="minorHAnsi"/>
          <w:b/>
          <w:sz w:val="16"/>
          <w:szCs w:val="16"/>
        </w:rPr>
        <w:t xml:space="preserve">March 2020 </w:t>
      </w:r>
      <w:r w:rsidRPr="001443FA">
        <w:rPr>
          <w:rStyle w:val="cy"/>
          <w:rFonts w:asciiTheme="minorHAnsi" w:hAnsiTheme="minorHAnsi"/>
          <w:b/>
          <w:sz w:val="16"/>
          <w:szCs w:val="16"/>
        </w:rPr>
        <w:t xml:space="preserve">(the “Prospectus”) that </w:t>
      </w:r>
      <w:r w:rsidR="00E346E7">
        <w:rPr>
          <w:rStyle w:val="cy"/>
          <w:rFonts w:asciiTheme="minorHAnsi" w:hAnsiTheme="minorHAnsi"/>
          <w:b/>
          <w:sz w:val="16"/>
          <w:szCs w:val="16"/>
        </w:rPr>
        <w:t>was</w:t>
      </w:r>
      <w:r w:rsidRPr="001443FA">
        <w:rPr>
          <w:rStyle w:val="cy"/>
          <w:rFonts w:asciiTheme="minorHAnsi" w:hAnsiTheme="minorHAnsi"/>
          <w:b/>
          <w:sz w:val="16"/>
          <w:szCs w:val="16"/>
        </w:rPr>
        <w:t xml:space="preserve"> published by Mining, Minerals &amp; Metals </w:t>
      </w:r>
      <w:r w:rsidR="00800123">
        <w:rPr>
          <w:rStyle w:val="cy"/>
          <w:rFonts w:asciiTheme="minorHAnsi" w:hAnsiTheme="minorHAnsi"/>
          <w:b/>
          <w:sz w:val="16"/>
          <w:szCs w:val="16"/>
        </w:rPr>
        <w:t>plc</w:t>
      </w:r>
      <w:r w:rsidRPr="001443FA">
        <w:rPr>
          <w:rStyle w:val="cy"/>
          <w:rFonts w:asciiTheme="minorHAnsi" w:hAnsiTheme="minorHAnsi"/>
          <w:b/>
          <w:sz w:val="16"/>
          <w:szCs w:val="16"/>
        </w:rPr>
        <w:t xml:space="preserve"> in connection with the admission of the Company’s ordinary shares of </w:t>
      </w:r>
      <w:r w:rsidR="001A3CE0">
        <w:rPr>
          <w:rStyle w:val="cy"/>
          <w:rFonts w:asciiTheme="minorHAnsi" w:hAnsiTheme="minorHAnsi"/>
          <w:b/>
          <w:sz w:val="16"/>
          <w:szCs w:val="16"/>
        </w:rPr>
        <w:t>1p each</w:t>
      </w:r>
      <w:r w:rsidRPr="001443FA">
        <w:rPr>
          <w:rStyle w:val="cy"/>
          <w:rFonts w:asciiTheme="minorHAnsi" w:hAnsiTheme="minorHAnsi"/>
          <w:b/>
          <w:sz w:val="16"/>
          <w:szCs w:val="16"/>
        </w:rPr>
        <w:t xml:space="preserve"> (the “Ordinary Shares”) to the Official List of the Financial Conduct Authority (the “FCA”) (Standard Listing Segment) and to trading on the Main Market for listed securities of the London Stock Exchange plc (the “London Stock Exchange”). This announcement is not an offer to sell, or a solicitation of an offer to acquire, securities in the United States, Australia, Canada, the Republic of South Africa, the Republic of Ireland, Japan or in any other jurisdiction.</w:t>
      </w:r>
    </w:p>
    <w:p w14:paraId="75FD99C3" w14:textId="140A1308" w:rsidR="00817964" w:rsidRPr="00817964" w:rsidRDefault="00817964" w:rsidP="00817964">
      <w:pPr>
        <w:spacing w:after="100" w:afterAutospacing="1" w:line="240" w:lineRule="auto"/>
        <w:rPr>
          <w:rFonts w:eastAsia="Times New Roman" w:cstheme="minorHAnsi"/>
          <w:color w:val="212721"/>
          <w:sz w:val="20"/>
          <w:szCs w:val="20"/>
          <w:lang w:eastAsia="en-GB"/>
        </w:rPr>
      </w:pPr>
      <w:r w:rsidRPr="00507454">
        <w:rPr>
          <w:rFonts w:eastAsia="Times New Roman" w:cstheme="minorHAnsi"/>
          <w:color w:val="212721"/>
          <w:sz w:val="20"/>
          <w:szCs w:val="20"/>
          <w:lang w:eastAsia="en-GB"/>
        </w:rPr>
        <w:t>6 March</w:t>
      </w:r>
      <w:r w:rsidRPr="00817964">
        <w:rPr>
          <w:rFonts w:eastAsia="Times New Roman" w:cstheme="minorHAnsi"/>
          <w:color w:val="212721"/>
          <w:sz w:val="20"/>
          <w:szCs w:val="20"/>
          <w:lang w:eastAsia="en-GB"/>
        </w:rPr>
        <w:t xml:space="preserve"> 20</w:t>
      </w:r>
      <w:r w:rsidRPr="00507454">
        <w:rPr>
          <w:rFonts w:eastAsia="Times New Roman" w:cstheme="minorHAnsi"/>
          <w:color w:val="212721"/>
          <w:sz w:val="20"/>
          <w:szCs w:val="20"/>
          <w:lang w:eastAsia="en-GB"/>
        </w:rPr>
        <w:t>20</w:t>
      </w:r>
    </w:p>
    <w:p w14:paraId="1D00BC23" w14:textId="2A1DFA0E" w:rsidR="00817964" w:rsidRDefault="00817964" w:rsidP="00817964">
      <w:pPr>
        <w:spacing w:after="100" w:afterAutospacing="1" w:line="240" w:lineRule="auto"/>
        <w:jc w:val="center"/>
        <w:rPr>
          <w:rFonts w:eastAsia="Times New Roman" w:cstheme="minorHAnsi"/>
          <w:b/>
          <w:bCs/>
          <w:color w:val="212721"/>
          <w:sz w:val="20"/>
          <w:szCs w:val="20"/>
          <w:lang w:eastAsia="en-GB"/>
        </w:rPr>
      </w:pPr>
      <w:r w:rsidRPr="00507454">
        <w:rPr>
          <w:rFonts w:eastAsia="Times New Roman" w:cstheme="minorHAnsi"/>
          <w:b/>
          <w:bCs/>
          <w:color w:val="212721"/>
          <w:sz w:val="20"/>
          <w:szCs w:val="20"/>
          <w:lang w:eastAsia="en-GB"/>
        </w:rPr>
        <w:t>Mining, Minerals &amp; Metals</w:t>
      </w:r>
      <w:r w:rsidRPr="00817964">
        <w:rPr>
          <w:rFonts w:eastAsia="Times New Roman" w:cstheme="minorHAnsi"/>
          <w:b/>
          <w:bCs/>
          <w:color w:val="212721"/>
          <w:sz w:val="20"/>
          <w:szCs w:val="20"/>
          <w:lang w:eastAsia="en-GB"/>
        </w:rPr>
        <w:t xml:space="preserve"> plc</w:t>
      </w:r>
    </w:p>
    <w:p w14:paraId="5B0EB1BE" w14:textId="13E710BB" w:rsidR="00B26674" w:rsidRPr="00B26674" w:rsidRDefault="00B26674" w:rsidP="00B26674">
      <w:pPr>
        <w:spacing w:after="120"/>
        <w:jc w:val="center"/>
        <w:rPr>
          <w:rFonts w:cstheme="minorHAnsi"/>
          <w:b/>
          <w:sz w:val="20"/>
          <w:szCs w:val="20"/>
        </w:rPr>
      </w:pPr>
      <w:r w:rsidRPr="00BC2FF0">
        <w:rPr>
          <w:rFonts w:cstheme="minorHAnsi"/>
          <w:b/>
          <w:sz w:val="20"/>
          <w:szCs w:val="20"/>
        </w:rPr>
        <w:t>(“MMM” or the “Company”)</w:t>
      </w:r>
    </w:p>
    <w:p w14:paraId="403E4C94" w14:textId="77777777" w:rsidR="00817964" w:rsidRPr="00817964" w:rsidRDefault="00817964" w:rsidP="00817964">
      <w:pPr>
        <w:spacing w:after="100" w:afterAutospacing="1" w:line="240" w:lineRule="auto"/>
        <w:jc w:val="center"/>
        <w:rPr>
          <w:rFonts w:eastAsia="Times New Roman" w:cstheme="minorHAnsi"/>
          <w:b/>
          <w:bCs/>
          <w:color w:val="212721"/>
          <w:sz w:val="20"/>
          <w:szCs w:val="20"/>
          <w:lang w:eastAsia="en-GB"/>
        </w:rPr>
      </w:pPr>
      <w:r w:rsidRPr="00817964">
        <w:rPr>
          <w:rFonts w:eastAsia="Times New Roman" w:cstheme="minorHAnsi"/>
          <w:b/>
          <w:bCs/>
          <w:color w:val="212721"/>
          <w:sz w:val="20"/>
          <w:szCs w:val="20"/>
          <w:lang w:eastAsia="en-GB"/>
        </w:rPr>
        <w:t>Admission to Trading and First Day of Dealings</w:t>
      </w:r>
    </w:p>
    <w:p w14:paraId="310C96A5" w14:textId="0C323505" w:rsidR="00817964" w:rsidRPr="00817964" w:rsidRDefault="00817964" w:rsidP="00817964">
      <w:pPr>
        <w:spacing w:after="100" w:afterAutospacing="1" w:line="240" w:lineRule="auto"/>
        <w:jc w:val="both"/>
        <w:rPr>
          <w:rFonts w:eastAsia="Times New Roman" w:cstheme="minorHAnsi"/>
          <w:color w:val="212721"/>
          <w:sz w:val="20"/>
          <w:szCs w:val="20"/>
          <w:lang w:eastAsia="en-GB"/>
        </w:rPr>
      </w:pPr>
      <w:r w:rsidRPr="00817964">
        <w:rPr>
          <w:rFonts w:eastAsia="Times New Roman" w:cstheme="minorHAnsi"/>
          <w:color w:val="212721"/>
          <w:sz w:val="20"/>
          <w:szCs w:val="20"/>
          <w:lang w:eastAsia="en-GB"/>
        </w:rPr>
        <w:t xml:space="preserve">Following the publication of its Prospectus on </w:t>
      </w:r>
      <w:r w:rsidRPr="00507454">
        <w:rPr>
          <w:rFonts w:eastAsia="Times New Roman" w:cstheme="minorHAnsi"/>
          <w:color w:val="212721"/>
          <w:sz w:val="20"/>
          <w:szCs w:val="20"/>
          <w:lang w:eastAsia="en-GB"/>
        </w:rPr>
        <w:t>2</w:t>
      </w:r>
      <w:r w:rsidRPr="00817964">
        <w:rPr>
          <w:rFonts w:eastAsia="Times New Roman" w:cstheme="minorHAnsi"/>
          <w:color w:val="212721"/>
          <w:sz w:val="20"/>
          <w:szCs w:val="20"/>
          <w:lang w:eastAsia="en-GB"/>
        </w:rPr>
        <w:t xml:space="preserve"> </w:t>
      </w:r>
      <w:r w:rsidRPr="00507454">
        <w:rPr>
          <w:rFonts w:eastAsia="Times New Roman" w:cstheme="minorHAnsi"/>
          <w:color w:val="212721"/>
          <w:sz w:val="20"/>
          <w:szCs w:val="20"/>
          <w:lang w:eastAsia="en-GB"/>
        </w:rPr>
        <w:t xml:space="preserve">March </w:t>
      </w:r>
      <w:r w:rsidRPr="00817964">
        <w:rPr>
          <w:rFonts w:eastAsia="Times New Roman" w:cstheme="minorHAnsi"/>
          <w:color w:val="212721"/>
          <w:sz w:val="20"/>
          <w:szCs w:val="20"/>
          <w:lang w:eastAsia="en-GB"/>
        </w:rPr>
        <w:t>20</w:t>
      </w:r>
      <w:r w:rsidRPr="00507454">
        <w:rPr>
          <w:rFonts w:eastAsia="Times New Roman" w:cstheme="minorHAnsi"/>
          <w:color w:val="212721"/>
          <w:sz w:val="20"/>
          <w:szCs w:val="20"/>
          <w:lang w:eastAsia="en-GB"/>
        </w:rPr>
        <w:t>20</w:t>
      </w:r>
      <w:r w:rsidRPr="00817964">
        <w:rPr>
          <w:rFonts w:eastAsia="Times New Roman" w:cstheme="minorHAnsi"/>
          <w:color w:val="212721"/>
          <w:sz w:val="20"/>
          <w:szCs w:val="20"/>
          <w:lang w:eastAsia="en-GB"/>
        </w:rPr>
        <w:t xml:space="preserve">, </w:t>
      </w:r>
      <w:r w:rsidR="00B26674">
        <w:rPr>
          <w:rFonts w:eastAsia="Times New Roman" w:cstheme="minorHAnsi"/>
          <w:color w:val="212721"/>
          <w:sz w:val="20"/>
          <w:szCs w:val="20"/>
          <w:lang w:eastAsia="en-GB"/>
        </w:rPr>
        <w:t>MMM</w:t>
      </w:r>
      <w:r w:rsidRPr="00817964">
        <w:rPr>
          <w:rFonts w:eastAsia="Times New Roman" w:cstheme="minorHAnsi"/>
          <w:color w:val="212721"/>
          <w:sz w:val="20"/>
          <w:szCs w:val="20"/>
          <w:lang w:eastAsia="en-GB"/>
        </w:rPr>
        <w:t xml:space="preserve"> announces that its entire issued ordinary share capital of </w:t>
      </w:r>
      <w:r w:rsidR="00F31509">
        <w:rPr>
          <w:rFonts w:eastAsia="Times New Roman" w:cstheme="minorHAnsi"/>
          <w:color w:val="212721"/>
          <w:sz w:val="20"/>
          <w:szCs w:val="20"/>
          <w:lang w:eastAsia="en-GB"/>
        </w:rPr>
        <w:t xml:space="preserve">31,833,333 </w:t>
      </w:r>
      <w:r w:rsidRPr="00817964">
        <w:rPr>
          <w:rFonts w:eastAsia="Times New Roman" w:cstheme="minorHAnsi"/>
          <w:color w:val="212721"/>
          <w:sz w:val="20"/>
          <w:szCs w:val="20"/>
          <w:lang w:eastAsia="en-GB"/>
        </w:rPr>
        <w:t>ordinary shares of 1 pence each (the “</w:t>
      </w:r>
      <w:r w:rsidRPr="00F07B72">
        <w:rPr>
          <w:rFonts w:eastAsia="Times New Roman" w:cstheme="minorHAnsi"/>
          <w:b/>
          <w:bCs/>
          <w:color w:val="212721"/>
          <w:sz w:val="20"/>
          <w:szCs w:val="20"/>
          <w:lang w:eastAsia="en-GB"/>
        </w:rPr>
        <w:t>Ordinary Shares</w:t>
      </w:r>
      <w:r w:rsidRPr="00817964">
        <w:rPr>
          <w:rFonts w:eastAsia="Times New Roman" w:cstheme="minorHAnsi"/>
          <w:color w:val="212721"/>
          <w:sz w:val="20"/>
          <w:szCs w:val="20"/>
          <w:lang w:eastAsia="en-GB"/>
        </w:rPr>
        <w:t>”) will today be admitted to the Standard Listing segment of the Official List of the UK Listing Authority and to trading on the Main Market for listed securities of the London Stock Exchange (together, the “</w:t>
      </w:r>
      <w:r w:rsidRPr="00D041E1">
        <w:rPr>
          <w:rFonts w:eastAsia="Times New Roman" w:cstheme="minorHAnsi"/>
          <w:b/>
          <w:bCs/>
          <w:color w:val="212721"/>
          <w:sz w:val="20"/>
          <w:szCs w:val="20"/>
          <w:lang w:eastAsia="en-GB"/>
        </w:rPr>
        <w:t>Admission</w:t>
      </w:r>
      <w:r w:rsidRPr="00817964">
        <w:rPr>
          <w:rFonts w:eastAsia="Times New Roman" w:cstheme="minorHAnsi"/>
          <w:color w:val="212721"/>
          <w:sz w:val="20"/>
          <w:szCs w:val="20"/>
          <w:lang w:eastAsia="en-GB"/>
        </w:rPr>
        <w:t xml:space="preserve">”). </w:t>
      </w:r>
      <w:bookmarkStart w:id="0" w:name="_GoBack"/>
      <w:bookmarkEnd w:id="0"/>
      <w:r w:rsidRPr="00817964">
        <w:rPr>
          <w:rFonts w:eastAsia="Times New Roman" w:cstheme="minorHAnsi"/>
          <w:color w:val="212721"/>
          <w:sz w:val="20"/>
          <w:szCs w:val="20"/>
          <w:lang w:eastAsia="en-GB"/>
        </w:rPr>
        <w:t xml:space="preserve">Dealings will commence at 8.00am under the TIDM </w:t>
      </w:r>
      <w:r w:rsidRPr="00507454">
        <w:rPr>
          <w:rFonts w:eastAsia="Times New Roman" w:cstheme="minorHAnsi"/>
          <w:color w:val="212721"/>
          <w:sz w:val="20"/>
          <w:szCs w:val="20"/>
          <w:lang w:eastAsia="en-GB"/>
        </w:rPr>
        <w:t>MMM</w:t>
      </w:r>
      <w:r w:rsidRPr="00817964">
        <w:rPr>
          <w:rFonts w:eastAsia="Times New Roman" w:cstheme="minorHAnsi"/>
          <w:color w:val="212721"/>
          <w:sz w:val="20"/>
          <w:szCs w:val="20"/>
          <w:lang w:eastAsia="en-GB"/>
        </w:rPr>
        <w:t xml:space="preserve"> with ISIN number </w:t>
      </w:r>
      <w:r w:rsidRPr="00507454">
        <w:rPr>
          <w:rFonts w:eastAsia="Times New Roman" w:cstheme="minorHAnsi"/>
          <w:color w:val="212721"/>
          <w:sz w:val="20"/>
          <w:szCs w:val="20"/>
          <w:lang w:eastAsia="en-GB"/>
        </w:rPr>
        <w:t>GB00BF7L9148</w:t>
      </w:r>
      <w:r w:rsidRPr="00817964">
        <w:rPr>
          <w:rFonts w:eastAsia="Times New Roman" w:cstheme="minorHAnsi"/>
          <w:color w:val="212721"/>
          <w:sz w:val="20"/>
          <w:szCs w:val="20"/>
          <w:lang w:eastAsia="en-GB"/>
        </w:rPr>
        <w:t>.</w:t>
      </w:r>
    </w:p>
    <w:p w14:paraId="6B771E26" w14:textId="77777777" w:rsidR="00BD4732" w:rsidRDefault="00817964" w:rsidP="00817964">
      <w:pPr>
        <w:spacing w:after="100" w:afterAutospacing="1" w:line="240" w:lineRule="auto"/>
        <w:jc w:val="both"/>
        <w:rPr>
          <w:rFonts w:eastAsia="Times New Roman" w:cstheme="minorHAnsi"/>
          <w:color w:val="212721"/>
          <w:sz w:val="20"/>
          <w:szCs w:val="20"/>
          <w:lang w:eastAsia="en-GB"/>
        </w:rPr>
      </w:pPr>
      <w:r w:rsidRPr="00507454">
        <w:rPr>
          <w:rFonts w:eastAsia="Times New Roman" w:cstheme="minorHAnsi"/>
          <w:color w:val="212721"/>
          <w:sz w:val="20"/>
          <w:szCs w:val="20"/>
          <w:lang w:eastAsia="en-GB"/>
        </w:rPr>
        <w:t>MMM</w:t>
      </w:r>
      <w:r w:rsidRPr="00817964">
        <w:rPr>
          <w:rFonts w:eastAsia="Times New Roman" w:cstheme="minorHAnsi"/>
          <w:color w:val="212721"/>
          <w:sz w:val="20"/>
          <w:szCs w:val="20"/>
          <w:lang w:eastAsia="en-GB"/>
        </w:rPr>
        <w:t xml:space="preserve"> is registered in the United Kingdom and </w:t>
      </w:r>
      <w:r w:rsidRPr="00507454">
        <w:rPr>
          <w:rFonts w:eastAsia="Times New Roman" w:cstheme="minorHAnsi"/>
          <w:color w:val="212721"/>
          <w:sz w:val="20"/>
          <w:szCs w:val="20"/>
          <w:lang w:eastAsia="en-GB"/>
        </w:rPr>
        <w:t xml:space="preserve">was developed to undertake an acquisition of one or more businesses (either shares or assets) that has operations involved in natural resource exploration that it will then look to develop and expand. The directors are particularly seeking opportunities in the mining and Oil and Gas segments of the natural resources sector. </w:t>
      </w:r>
    </w:p>
    <w:p w14:paraId="0D6C528D" w14:textId="0705255D" w:rsidR="00817964" w:rsidRPr="00507454" w:rsidRDefault="00817964" w:rsidP="00817964">
      <w:pPr>
        <w:spacing w:after="100" w:afterAutospacing="1" w:line="240" w:lineRule="auto"/>
        <w:jc w:val="both"/>
        <w:rPr>
          <w:rFonts w:eastAsia="Times New Roman" w:cstheme="minorHAnsi"/>
          <w:color w:val="212721"/>
          <w:sz w:val="20"/>
          <w:szCs w:val="20"/>
          <w:lang w:eastAsia="en-GB"/>
        </w:rPr>
      </w:pPr>
      <w:r w:rsidRPr="00507454">
        <w:rPr>
          <w:rFonts w:eastAsia="Times New Roman" w:cstheme="minorHAnsi"/>
          <w:color w:val="212721"/>
          <w:sz w:val="20"/>
          <w:szCs w:val="20"/>
          <w:lang w:eastAsia="en-GB"/>
        </w:rPr>
        <w:t xml:space="preserve">Together, the directors have many years’ experience conducting corporate acquisitions and capital markets transactions across the natural resources sector, with </w:t>
      </w:r>
      <w:proofErr w:type="gramStart"/>
      <w:r w:rsidRPr="00507454">
        <w:rPr>
          <w:rFonts w:eastAsia="Times New Roman" w:cstheme="minorHAnsi"/>
          <w:color w:val="212721"/>
          <w:sz w:val="20"/>
          <w:szCs w:val="20"/>
          <w:lang w:eastAsia="en-GB"/>
        </w:rPr>
        <w:t>particular emphasis</w:t>
      </w:r>
      <w:proofErr w:type="gramEnd"/>
      <w:r w:rsidRPr="00507454">
        <w:rPr>
          <w:rFonts w:eastAsia="Times New Roman" w:cstheme="minorHAnsi"/>
          <w:color w:val="212721"/>
          <w:sz w:val="20"/>
          <w:szCs w:val="20"/>
          <w:lang w:eastAsia="en-GB"/>
        </w:rPr>
        <w:t xml:space="preserve"> on mining and Oil and Gas. They have established a network of contacts internationally within the sector and will utilise independent third parties to provide expert advice where necessary</w:t>
      </w:r>
    </w:p>
    <w:p w14:paraId="3BB7E39D" w14:textId="7A9BB8A9" w:rsidR="00507454" w:rsidRDefault="00817964" w:rsidP="00507454">
      <w:pPr>
        <w:spacing w:after="100" w:afterAutospacing="1" w:line="240" w:lineRule="auto"/>
        <w:jc w:val="both"/>
        <w:rPr>
          <w:rFonts w:eastAsia="Times New Roman" w:cstheme="minorHAnsi"/>
          <w:color w:val="212721"/>
          <w:sz w:val="20"/>
          <w:szCs w:val="20"/>
          <w:lang w:eastAsia="en-GB"/>
        </w:rPr>
      </w:pPr>
      <w:r w:rsidRPr="00817964">
        <w:rPr>
          <w:rFonts w:eastAsia="Times New Roman" w:cstheme="minorHAnsi"/>
          <w:color w:val="212721"/>
          <w:sz w:val="20"/>
          <w:szCs w:val="20"/>
          <w:lang w:eastAsia="en-GB"/>
        </w:rPr>
        <w:t xml:space="preserve">The total number of Ordinary Shares in the Company in issue immediately following Admission is </w:t>
      </w:r>
      <w:r w:rsidR="00F31509">
        <w:rPr>
          <w:rFonts w:eastAsia="Times New Roman" w:cstheme="minorHAnsi"/>
          <w:color w:val="212721"/>
          <w:sz w:val="20"/>
          <w:szCs w:val="20"/>
          <w:lang w:eastAsia="en-GB"/>
        </w:rPr>
        <w:t xml:space="preserve">31,833,333 </w:t>
      </w:r>
      <w:r w:rsidRPr="00817964">
        <w:rPr>
          <w:rFonts w:eastAsia="Times New Roman" w:cstheme="minorHAnsi"/>
          <w:color w:val="212721"/>
          <w:sz w:val="20"/>
          <w:szCs w:val="20"/>
          <w:lang w:eastAsia="en-GB"/>
        </w:rPr>
        <w:t>each with equal voting rights. This total voting rights figure can be used by shareholders as the denominator for the calculations by which they will determine whether they are required to notify their interest in the Company under the Disclosure and Transparency Rules of the Financial Conduct Authority.</w:t>
      </w:r>
    </w:p>
    <w:p w14:paraId="5FAFA8B1" w14:textId="77777777" w:rsidR="00507454" w:rsidRPr="00507454" w:rsidRDefault="00507454" w:rsidP="00507454">
      <w:pPr>
        <w:jc w:val="both"/>
        <w:rPr>
          <w:rFonts w:cstheme="minorHAnsi"/>
          <w:b/>
          <w:sz w:val="20"/>
          <w:szCs w:val="20"/>
        </w:rPr>
      </w:pPr>
      <w:r w:rsidRPr="00507454">
        <w:rPr>
          <w:rFonts w:cstheme="minorHAnsi"/>
          <w:b/>
          <w:sz w:val="20"/>
          <w:szCs w:val="20"/>
        </w:rPr>
        <w:t>Dealing Codes</w:t>
      </w:r>
    </w:p>
    <w:tbl>
      <w:tblPr>
        <w:tblW w:w="0" w:type="auto"/>
        <w:jc w:val="center"/>
        <w:tblLook w:val="04A0" w:firstRow="1" w:lastRow="0" w:firstColumn="1" w:lastColumn="0" w:noHBand="0" w:noVBand="1"/>
      </w:tblPr>
      <w:tblGrid>
        <w:gridCol w:w="5251"/>
        <w:gridCol w:w="2867"/>
      </w:tblGrid>
      <w:tr w:rsidR="00507454" w:rsidRPr="00507454" w14:paraId="29D5A190" w14:textId="77777777" w:rsidTr="006D457E">
        <w:trPr>
          <w:trHeight w:val="289"/>
          <w:jc w:val="center"/>
        </w:trPr>
        <w:tc>
          <w:tcPr>
            <w:tcW w:w="5251" w:type="dxa"/>
            <w:shd w:val="clear" w:color="auto" w:fill="auto"/>
            <w:vAlign w:val="center"/>
          </w:tcPr>
          <w:p w14:paraId="70E78343" w14:textId="77777777" w:rsidR="00507454" w:rsidRPr="00507454" w:rsidRDefault="00507454" w:rsidP="006D457E">
            <w:pPr>
              <w:rPr>
                <w:rFonts w:cstheme="minorHAnsi"/>
                <w:sz w:val="18"/>
                <w:szCs w:val="18"/>
              </w:rPr>
            </w:pPr>
            <w:r w:rsidRPr="00507454">
              <w:rPr>
                <w:rFonts w:cstheme="minorHAnsi"/>
                <w:sz w:val="18"/>
                <w:szCs w:val="18"/>
              </w:rPr>
              <w:t>TIDM</w:t>
            </w:r>
          </w:p>
        </w:tc>
        <w:tc>
          <w:tcPr>
            <w:tcW w:w="2867" w:type="dxa"/>
            <w:shd w:val="clear" w:color="auto" w:fill="auto"/>
            <w:vAlign w:val="center"/>
          </w:tcPr>
          <w:p w14:paraId="7CA38FEE" w14:textId="77777777" w:rsidR="00507454" w:rsidRPr="00507454" w:rsidRDefault="00507454" w:rsidP="006D457E">
            <w:pPr>
              <w:jc w:val="right"/>
              <w:rPr>
                <w:rFonts w:cstheme="minorHAnsi"/>
                <w:sz w:val="18"/>
                <w:szCs w:val="18"/>
              </w:rPr>
            </w:pPr>
            <w:r w:rsidRPr="00507454">
              <w:rPr>
                <w:rFonts w:cstheme="minorHAnsi"/>
                <w:sz w:val="18"/>
                <w:szCs w:val="18"/>
              </w:rPr>
              <w:t>MMM</w:t>
            </w:r>
          </w:p>
        </w:tc>
      </w:tr>
      <w:tr w:rsidR="00507454" w:rsidRPr="00507454" w14:paraId="0F6AD45C" w14:textId="77777777" w:rsidTr="006D457E">
        <w:trPr>
          <w:trHeight w:val="289"/>
          <w:jc w:val="center"/>
        </w:trPr>
        <w:tc>
          <w:tcPr>
            <w:tcW w:w="5251" w:type="dxa"/>
            <w:shd w:val="clear" w:color="auto" w:fill="auto"/>
            <w:vAlign w:val="center"/>
          </w:tcPr>
          <w:p w14:paraId="03A3CDC9" w14:textId="77777777" w:rsidR="00507454" w:rsidRPr="00507454" w:rsidRDefault="00507454" w:rsidP="006D457E">
            <w:pPr>
              <w:rPr>
                <w:rFonts w:cstheme="minorHAnsi"/>
                <w:sz w:val="18"/>
                <w:szCs w:val="18"/>
                <w:lang w:eastAsia="en-GB"/>
              </w:rPr>
            </w:pPr>
            <w:r w:rsidRPr="00507454">
              <w:rPr>
                <w:rFonts w:cstheme="minorHAnsi"/>
                <w:sz w:val="18"/>
                <w:szCs w:val="18"/>
              </w:rPr>
              <w:t>ISIN</w:t>
            </w:r>
          </w:p>
        </w:tc>
        <w:tc>
          <w:tcPr>
            <w:tcW w:w="2867" w:type="dxa"/>
            <w:shd w:val="clear" w:color="auto" w:fill="auto"/>
            <w:vAlign w:val="center"/>
          </w:tcPr>
          <w:p w14:paraId="3E1A3B89" w14:textId="77777777" w:rsidR="00507454" w:rsidRPr="00507454" w:rsidRDefault="00507454" w:rsidP="006D457E">
            <w:pPr>
              <w:jc w:val="right"/>
              <w:rPr>
                <w:rFonts w:cstheme="minorHAnsi"/>
                <w:sz w:val="18"/>
                <w:szCs w:val="18"/>
                <w:lang w:eastAsia="en-GB"/>
              </w:rPr>
            </w:pPr>
            <w:r w:rsidRPr="00507454">
              <w:rPr>
                <w:rFonts w:cstheme="minorHAnsi"/>
                <w:sz w:val="18"/>
                <w:szCs w:val="18"/>
              </w:rPr>
              <w:t>GB00BF7L9148</w:t>
            </w:r>
          </w:p>
        </w:tc>
      </w:tr>
      <w:tr w:rsidR="00507454" w:rsidRPr="00507454" w14:paraId="7BB8D8C8" w14:textId="77777777" w:rsidTr="006D457E">
        <w:trPr>
          <w:trHeight w:val="289"/>
          <w:jc w:val="center"/>
        </w:trPr>
        <w:tc>
          <w:tcPr>
            <w:tcW w:w="5251" w:type="dxa"/>
            <w:shd w:val="clear" w:color="auto" w:fill="auto"/>
            <w:vAlign w:val="center"/>
          </w:tcPr>
          <w:p w14:paraId="10617BE1" w14:textId="77777777" w:rsidR="00507454" w:rsidRPr="00507454" w:rsidRDefault="00507454" w:rsidP="006D457E">
            <w:pPr>
              <w:rPr>
                <w:rFonts w:cstheme="minorHAnsi"/>
                <w:sz w:val="18"/>
                <w:szCs w:val="18"/>
                <w:lang w:eastAsia="en-GB"/>
              </w:rPr>
            </w:pPr>
            <w:r w:rsidRPr="00507454">
              <w:rPr>
                <w:rFonts w:cstheme="minorHAnsi"/>
                <w:sz w:val="18"/>
                <w:szCs w:val="18"/>
              </w:rPr>
              <w:t>SEDOL</w:t>
            </w:r>
          </w:p>
        </w:tc>
        <w:tc>
          <w:tcPr>
            <w:tcW w:w="2867" w:type="dxa"/>
            <w:shd w:val="clear" w:color="auto" w:fill="auto"/>
            <w:vAlign w:val="center"/>
          </w:tcPr>
          <w:p w14:paraId="06DA31E5" w14:textId="77777777" w:rsidR="00507454" w:rsidRPr="00507454" w:rsidRDefault="00507454" w:rsidP="006D457E">
            <w:pPr>
              <w:jc w:val="right"/>
              <w:rPr>
                <w:rFonts w:cstheme="minorHAnsi"/>
                <w:sz w:val="18"/>
                <w:szCs w:val="18"/>
                <w:lang w:eastAsia="en-GB"/>
              </w:rPr>
            </w:pPr>
            <w:r w:rsidRPr="00507454">
              <w:rPr>
                <w:rFonts w:cstheme="minorHAnsi"/>
                <w:sz w:val="18"/>
                <w:szCs w:val="18"/>
              </w:rPr>
              <w:t>BF7L914</w:t>
            </w:r>
          </w:p>
        </w:tc>
      </w:tr>
      <w:tr w:rsidR="00507454" w:rsidRPr="00507454" w14:paraId="31DC8F26" w14:textId="77777777" w:rsidTr="006D457E">
        <w:trPr>
          <w:trHeight w:val="269"/>
          <w:jc w:val="center"/>
        </w:trPr>
        <w:tc>
          <w:tcPr>
            <w:tcW w:w="5251" w:type="dxa"/>
            <w:shd w:val="clear" w:color="auto" w:fill="auto"/>
            <w:vAlign w:val="center"/>
          </w:tcPr>
          <w:p w14:paraId="7D617281" w14:textId="77777777" w:rsidR="00507454" w:rsidRPr="00507454" w:rsidRDefault="00507454" w:rsidP="006D457E">
            <w:pPr>
              <w:rPr>
                <w:rFonts w:cstheme="minorHAnsi"/>
                <w:sz w:val="18"/>
                <w:szCs w:val="18"/>
                <w:lang w:eastAsia="en-GB"/>
              </w:rPr>
            </w:pPr>
            <w:r w:rsidRPr="00507454">
              <w:rPr>
                <w:rFonts w:cstheme="minorHAnsi"/>
                <w:sz w:val="18"/>
                <w:szCs w:val="18"/>
              </w:rPr>
              <w:t>LEI</w:t>
            </w:r>
          </w:p>
        </w:tc>
        <w:tc>
          <w:tcPr>
            <w:tcW w:w="2867" w:type="dxa"/>
            <w:shd w:val="clear" w:color="auto" w:fill="auto"/>
            <w:vAlign w:val="center"/>
          </w:tcPr>
          <w:p w14:paraId="1E72B6D3" w14:textId="77777777" w:rsidR="00507454" w:rsidRPr="00507454" w:rsidRDefault="00507454" w:rsidP="006D457E">
            <w:pPr>
              <w:jc w:val="right"/>
              <w:rPr>
                <w:rFonts w:cstheme="minorHAnsi"/>
                <w:sz w:val="18"/>
                <w:szCs w:val="18"/>
                <w:lang w:eastAsia="en-GB"/>
              </w:rPr>
            </w:pPr>
            <w:r w:rsidRPr="00507454">
              <w:rPr>
                <w:rFonts w:cstheme="minorHAnsi"/>
                <w:sz w:val="18"/>
                <w:szCs w:val="18"/>
              </w:rPr>
              <w:t>2138008HMWNFOBOHGW65</w:t>
            </w:r>
          </w:p>
        </w:tc>
      </w:tr>
    </w:tbl>
    <w:p w14:paraId="00EEA8F7" w14:textId="77777777" w:rsidR="000B2F74" w:rsidRPr="00817964" w:rsidRDefault="000B2F74" w:rsidP="000B2F74">
      <w:pPr>
        <w:spacing w:after="100" w:afterAutospacing="1" w:line="240" w:lineRule="auto"/>
        <w:jc w:val="both"/>
        <w:rPr>
          <w:rFonts w:eastAsia="Times New Roman" w:cstheme="minorHAnsi"/>
          <w:color w:val="212721"/>
          <w:sz w:val="20"/>
          <w:szCs w:val="20"/>
          <w:lang w:eastAsia="en-GB"/>
        </w:rPr>
      </w:pPr>
      <w:r w:rsidRPr="00507454">
        <w:rPr>
          <w:rFonts w:eastAsia="Times New Roman" w:cstheme="minorHAnsi"/>
          <w:color w:val="212721"/>
          <w:sz w:val="20"/>
          <w:szCs w:val="20"/>
          <w:lang w:eastAsia="en-GB"/>
        </w:rPr>
        <w:t>Matt</w:t>
      </w:r>
      <w:r>
        <w:rPr>
          <w:rFonts w:eastAsia="Times New Roman" w:cstheme="minorHAnsi"/>
          <w:color w:val="212721"/>
          <w:sz w:val="20"/>
          <w:szCs w:val="20"/>
          <w:lang w:eastAsia="en-GB"/>
        </w:rPr>
        <w:t>hew</w:t>
      </w:r>
      <w:r w:rsidRPr="00507454">
        <w:rPr>
          <w:rFonts w:eastAsia="Times New Roman" w:cstheme="minorHAnsi"/>
          <w:color w:val="212721"/>
          <w:sz w:val="20"/>
          <w:szCs w:val="20"/>
          <w:lang w:eastAsia="en-GB"/>
        </w:rPr>
        <w:t xml:space="preserve"> Bonner</w:t>
      </w:r>
      <w:r w:rsidRPr="00817964">
        <w:rPr>
          <w:rFonts w:eastAsia="Times New Roman" w:cstheme="minorHAnsi"/>
          <w:color w:val="212721"/>
          <w:sz w:val="20"/>
          <w:szCs w:val="20"/>
          <w:lang w:eastAsia="en-GB"/>
        </w:rPr>
        <w:t xml:space="preserve">, the Company’s </w:t>
      </w:r>
      <w:r>
        <w:rPr>
          <w:rFonts w:eastAsia="Times New Roman" w:cstheme="minorHAnsi"/>
          <w:color w:val="212721"/>
          <w:sz w:val="20"/>
          <w:szCs w:val="20"/>
          <w:lang w:eastAsia="en-GB"/>
        </w:rPr>
        <w:t xml:space="preserve">Non-Executive </w:t>
      </w:r>
      <w:r w:rsidRPr="00817964">
        <w:rPr>
          <w:rFonts w:eastAsia="Times New Roman" w:cstheme="minorHAnsi"/>
          <w:color w:val="212721"/>
          <w:sz w:val="20"/>
          <w:szCs w:val="20"/>
          <w:lang w:eastAsia="en-GB"/>
        </w:rPr>
        <w:t>Chairman commented:</w:t>
      </w:r>
    </w:p>
    <w:p w14:paraId="5ED4BEC1" w14:textId="77777777" w:rsidR="000B2F74" w:rsidRPr="00817964" w:rsidRDefault="000B2F74" w:rsidP="000B2F74">
      <w:pPr>
        <w:spacing w:after="100" w:afterAutospacing="1" w:line="240" w:lineRule="auto"/>
        <w:jc w:val="both"/>
        <w:rPr>
          <w:rFonts w:eastAsia="Times New Roman" w:cstheme="minorHAnsi"/>
          <w:color w:val="212721"/>
          <w:sz w:val="20"/>
          <w:szCs w:val="20"/>
          <w:lang w:eastAsia="en-GB"/>
        </w:rPr>
      </w:pPr>
      <w:r w:rsidRPr="00817964">
        <w:rPr>
          <w:rFonts w:eastAsia="Times New Roman" w:cstheme="minorHAnsi"/>
          <w:i/>
          <w:iCs/>
          <w:color w:val="212721"/>
          <w:sz w:val="20"/>
          <w:szCs w:val="20"/>
          <w:lang w:eastAsia="en-GB"/>
        </w:rPr>
        <w:t>“</w:t>
      </w:r>
      <w:r>
        <w:rPr>
          <w:rFonts w:eastAsia="Times New Roman" w:cstheme="minorHAnsi"/>
          <w:i/>
          <w:iCs/>
          <w:color w:val="212721"/>
          <w:sz w:val="20"/>
          <w:szCs w:val="20"/>
          <w:lang w:eastAsia="en-GB"/>
        </w:rPr>
        <w:t>The directors</w:t>
      </w:r>
      <w:r w:rsidRPr="00817964">
        <w:rPr>
          <w:rFonts w:eastAsia="Times New Roman" w:cstheme="minorHAnsi"/>
          <w:i/>
          <w:iCs/>
          <w:color w:val="212721"/>
          <w:sz w:val="20"/>
          <w:szCs w:val="20"/>
          <w:lang w:eastAsia="en-GB"/>
        </w:rPr>
        <w:t xml:space="preserve"> </w:t>
      </w:r>
      <w:r>
        <w:rPr>
          <w:rFonts w:eastAsia="Times New Roman" w:cstheme="minorHAnsi"/>
          <w:i/>
          <w:iCs/>
          <w:color w:val="212721"/>
          <w:sz w:val="20"/>
          <w:szCs w:val="20"/>
          <w:lang w:eastAsia="en-GB"/>
        </w:rPr>
        <w:t xml:space="preserve">of MMM are </w:t>
      </w:r>
      <w:r w:rsidRPr="00817964">
        <w:rPr>
          <w:rFonts w:eastAsia="Times New Roman" w:cstheme="minorHAnsi"/>
          <w:i/>
          <w:iCs/>
          <w:color w:val="212721"/>
          <w:sz w:val="20"/>
          <w:szCs w:val="20"/>
          <w:lang w:eastAsia="en-GB"/>
        </w:rPr>
        <w:t xml:space="preserve">delighted that </w:t>
      </w:r>
      <w:r w:rsidRPr="00507454">
        <w:rPr>
          <w:rFonts w:eastAsia="Times New Roman" w:cstheme="minorHAnsi"/>
          <w:i/>
          <w:iCs/>
          <w:color w:val="212721"/>
          <w:sz w:val="20"/>
          <w:szCs w:val="20"/>
          <w:lang w:eastAsia="en-GB"/>
        </w:rPr>
        <w:t>MMM</w:t>
      </w:r>
      <w:r w:rsidRPr="00817964">
        <w:rPr>
          <w:rFonts w:eastAsia="Times New Roman" w:cstheme="minorHAnsi"/>
          <w:i/>
          <w:iCs/>
          <w:color w:val="212721"/>
          <w:sz w:val="20"/>
          <w:szCs w:val="20"/>
          <w:lang w:eastAsia="en-GB"/>
        </w:rPr>
        <w:t xml:space="preserve"> has joined the Main Market and </w:t>
      </w:r>
      <w:r>
        <w:rPr>
          <w:rFonts w:eastAsia="Times New Roman" w:cstheme="minorHAnsi"/>
          <w:i/>
          <w:iCs/>
          <w:color w:val="212721"/>
          <w:sz w:val="20"/>
          <w:szCs w:val="20"/>
          <w:lang w:eastAsia="en-GB"/>
        </w:rPr>
        <w:t>we</w:t>
      </w:r>
      <w:r w:rsidRPr="00817964">
        <w:rPr>
          <w:rFonts w:eastAsia="Times New Roman" w:cstheme="minorHAnsi"/>
          <w:i/>
          <w:iCs/>
          <w:color w:val="212721"/>
          <w:sz w:val="20"/>
          <w:szCs w:val="20"/>
          <w:lang w:eastAsia="en-GB"/>
        </w:rPr>
        <w:t xml:space="preserve"> look forward to embarking on the next stage of development for the Company. Admission to the Main Market will enhance the Company’s profile and provide a great platform to implement our </w:t>
      </w:r>
      <w:r w:rsidRPr="00507454">
        <w:rPr>
          <w:rFonts w:eastAsia="Times New Roman" w:cstheme="minorHAnsi"/>
          <w:i/>
          <w:iCs/>
          <w:color w:val="212721"/>
          <w:sz w:val="20"/>
          <w:szCs w:val="20"/>
          <w:lang w:eastAsia="en-GB"/>
        </w:rPr>
        <w:t>acquisition</w:t>
      </w:r>
      <w:r w:rsidRPr="00817964">
        <w:rPr>
          <w:rFonts w:eastAsia="Times New Roman" w:cstheme="minorHAnsi"/>
          <w:i/>
          <w:iCs/>
          <w:color w:val="212721"/>
          <w:sz w:val="20"/>
          <w:szCs w:val="20"/>
          <w:lang w:eastAsia="en-GB"/>
        </w:rPr>
        <w:t xml:space="preserve"> strategy</w:t>
      </w:r>
      <w:r w:rsidRPr="00817964">
        <w:rPr>
          <w:rFonts w:eastAsia="Times New Roman" w:cstheme="minorHAnsi"/>
          <w:color w:val="212721"/>
          <w:sz w:val="20"/>
          <w:szCs w:val="20"/>
          <w:lang w:eastAsia="en-GB"/>
        </w:rPr>
        <w:t>.”</w:t>
      </w:r>
    </w:p>
    <w:p w14:paraId="4174DBB1" w14:textId="77777777" w:rsidR="00507454" w:rsidRPr="00817964" w:rsidRDefault="00507454" w:rsidP="00817964">
      <w:pPr>
        <w:spacing w:after="100" w:afterAutospacing="1" w:line="240" w:lineRule="auto"/>
        <w:jc w:val="both"/>
        <w:rPr>
          <w:rFonts w:eastAsia="Times New Roman" w:cstheme="minorHAnsi"/>
          <w:color w:val="212721"/>
          <w:sz w:val="20"/>
          <w:szCs w:val="20"/>
          <w:lang w:eastAsia="en-GB"/>
        </w:rPr>
      </w:pPr>
    </w:p>
    <w:p w14:paraId="3B565185" w14:textId="77777777" w:rsidR="00ED5D98" w:rsidRDefault="00ED5D98" w:rsidP="00817964">
      <w:pPr>
        <w:spacing w:after="100" w:afterAutospacing="1" w:line="240" w:lineRule="auto"/>
        <w:rPr>
          <w:rFonts w:eastAsia="Times New Roman" w:cstheme="minorHAnsi"/>
          <w:b/>
          <w:bCs/>
          <w:color w:val="212721"/>
          <w:sz w:val="20"/>
          <w:szCs w:val="20"/>
          <w:lang w:eastAsia="en-GB"/>
        </w:rPr>
      </w:pPr>
    </w:p>
    <w:p w14:paraId="2F7408B0" w14:textId="4DA48385" w:rsidR="00817964" w:rsidRPr="00817964" w:rsidRDefault="00817964" w:rsidP="00817964">
      <w:pPr>
        <w:spacing w:after="100" w:afterAutospacing="1" w:line="240" w:lineRule="auto"/>
        <w:rPr>
          <w:rFonts w:eastAsia="Times New Roman" w:cstheme="minorHAnsi"/>
          <w:b/>
          <w:bCs/>
          <w:color w:val="212721"/>
          <w:sz w:val="20"/>
          <w:szCs w:val="20"/>
          <w:lang w:eastAsia="en-GB"/>
        </w:rPr>
      </w:pPr>
      <w:r w:rsidRPr="00817964">
        <w:rPr>
          <w:rFonts w:eastAsia="Times New Roman" w:cstheme="minorHAnsi"/>
          <w:b/>
          <w:bCs/>
          <w:color w:val="212721"/>
          <w:sz w:val="20"/>
          <w:szCs w:val="20"/>
          <w:lang w:eastAsia="en-GB"/>
        </w:rPr>
        <w:lastRenderedPageBreak/>
        <w:t>Enquiries</w:t>
      </w:r>
    </w:p>
    <w:tbl>
      <w:tblPr>
        <w:tblW w:w="9300" w:type="dxa"/>
        <w:tblCellSpacing w:w="0" w:type="dxa"/>
        <w:tblCellMar>
          <w:top w:w="60" w:type="dxa"/>
          <w:left w:w="60" w:type="dxa"/>
          <w:bottom w:w="60" w:type="dxa"/>
          <w:right w:w="60" w:type="dxa"/>
        </w:tblCellMar>
        <w:tblLook w:val="04A0" w:firstRow="1" w:lastRow="0" w:firstColumn="1" w:lastColumn="0" w:noHBand="0" w:noVBand="1"/>
      </w:tblPr>
      <w:tblGrid>
        <w:gridCol w:w="6511"/>
        <w:gridCol w:w="2789"/>
      </w:tblGrid>
      <w:tr w:rsidR="00817964" w:rsidRPr="00817964" w14:paraId="202425E2" w14:textId="77777777" w:rsidTr="00E54532">
        <w:trPr>
          <w:tblCellSpacing w:w="0" w:type="dxa"/>
        </w:trPr>
        <w:tc>
          <w:tcPr>
            <w:tcW w:w="0" w:type="auto"/>
            <w:hideMark/>
          </w:tcPr>
          <w:p w14:paraId="44F35C96" w14:textId="77777777" w:rsidR="00817964" w:rsidRPr="00507454" w:rsidRDefault="00817964" w:rsidP="00817964">
            <w:pPr>
              <w:spacing w:after="0"/>
              <w:rPr>
                <w:rFonts w:eastAsia="Times New Roman" w:cstheme="minorHAnsi"/>
                <w:color w:val="212721"/>
                <w:sz w:val="20"/>
                <w:szCs w:val="20"/>
                <w:lang w:eastAsia="en-GB"/>
              </w:rPr>
            </w:pPr>
            <w:r w:rsidRPr="00507454">
              <w:rPr>
                <w:rFonts w:eastAsia="Times New Roman" w:cstheme="minorHAnsi"/>
                <w:b/>
                <w:bCs/>
                <w:color w:val="212721"/>
                <w:sz w:val="20"/>
                <w:szCs w:val="20"/>
                <w:lang w:eastAsia="en-GB"/>
              </w:rPr>
              <w:t>Mining, Minerals &amp; Metals</w:t>
            </w:r>
            <w:r w:rsidRPr="00817964">
              <w:rPr>
                <w:rFonts w:eastAsia="Times New Roman" w:cstheme="minorHAnsi"/>
                <w:b/>
                <w:bCs/>
                <w:color w:val="212721"/>
                <w:sz w:val="20"/>
                <w:szCs w:val="20"/>
                <w:lang w:eastAsia="en-GB"/>
              </w:rPr>
              <w:t xml:space="preserve"> plc</w:t>
            </w:r>
            <w:r w:rsidRPr="00817964">
              <w:rPr>
                <w:rFonts w:eastAsia="Times New Roman" w:cstheme="minorHAnsi"/>
                <w:color w:val="212721"/>
                <w:sz w:val="20"/>
                <w:szCs w:val="20"/>
                <w:lang w:eastAsia="en-GB"/>
              </w:rPr>
              <w:br/>
            </w:r>
            <w:r w:rsidRPr="00507454">
              <w:rPr>
                <w:rFonts w:eastAsia="Times New Roman" w:cstheme="minorHAnsi"/>
                <w:color w:val="212721"/>
                <w:sz w:val="20"/>
                <w:szCs w:val="20"/>
                <w:lang w:eastAsia="en-GB"/>
              </w:rPr>
              <w:t>Matthew Bonner, Non-Executive Chairman</w:t>
            </w:r>
          </w:p>
          <w:p w14:paraId="129FC346" w14:textId="77777777" w:rsidR="00817964" w:rsidRPr="00507454" w:rsidRDefault="00817964" w:rsidP="00817964">
            <w:pPr>
              <w:spacing w:after="0"/>
              <w:rPr>
                <w:rFonts w:eastAsia="Times New Roman" w:cstheme="minorHAnsi"/>
                <w:color w:val="212721"/>
                <w:sz w:val="20"/>
                <w:szCs w:val="20"/>
                <w:lang w:eastAsia="en-GB"/>
              </w:rPr>
            </w:pPr>
            <w:r w:rsidRPr="00507454">
              <w:rPr>
                <w:rFonts w:eastAsia="Times New Roman" w:cstheme="minorHAnsi"/>
                <w:color w:val="212721"/>
                <w:sz w:val="20"/>
                <w:szCs w:val="20"/>
                <w:lang w:eastAsia="en-GB"/>
              </w:rPr>
              <w:t>Andrew Monk, Non-Executive Director</w:t>
            </w:r>
          </w:p>
          <w:p w14:paraId="117E17AA" w14:textId="161309B5" w:rsidR="00817964" w:rsidRPr="00817964" w:rsidRDefault="00817964" w:rsidP="00817964">
            <w:pPr>
              <w:spacing w:after="0" w:line="240" w:lineRule="auto"/>
              <w:rPr>
                <w:rFonts w:eastAsia="Times New Roman" w:cstheme="minorHAnsi"/>
                <w:color w:val="212721"/>
                <w:sz w:val="20"/>
                <w:szCs w:val="20"/>
                <w:lang w:eastAsia="en-GB"/>
              </w:rPr>
            </w:pPr>
          </w:p>
        </w:tc>
        <w:tc>
          <w:tcPr>
            <w:tcW w:w="0" w:type="auto"/>
          </w:tcPr>
          <w:p w14:paraId="2D5E926D" w14:textId="2DD620C4" w:rsidR="00817964" w:rsidRPr="00817964" w:rsidRDefault="00817964" w:rsidP="00817964">
            <w:pPr>
              <w:spacing w:after="0" w:line="240" w:lineRule="auto"/>
              <w:rPr>
                <w:rFonts w:eastAsia="Times New Roman" w:cstheme="minorHAnsi"/>
                <w:color w:val="212721"/>
                <w:sz w:val="20"/>
                <w:szCs w:val="20"/>
                <w:lang w:eastAsia="en-GB"/>
              </w:rPr>
            </w:pPr>
          </w:p>
        </w:tc>
      </w:tr>
      <w:tr w:rsidR="00817964" w:rsidRPr="00817964" w14:paraId="7E4415DD" w14:textId="77777777" w:rsidTr="00817964">
        <w:trPr>
          <w:tblCellSpacing w:w="0" w:type="dxa"/>
        </w:trPr>
        <w:tc>
          <w:tcPr>
            <w:tcW w:w="0" w:type="auto"/>
            <w:hideMark/>
          </w:tcPr>
          <w:p w14:paraId="25CE111E" w14:textId="11AE832F" w:rsidR="00817964" w:rsidRPr="00817964" w:rsidRDefault="00817964" w:rsidP="00817964">
            <w:pPr>
              <w:spacing w:after="0" w:line="240" w:lineRule="auto"/>
              <w:rPr>
                <w:rFonts w:eastAsia="Times New Roman" w:cstheme="minorHAnsi"/>
                <w:color w:val="212721"/>
                <w:sz w:val="20"/>
                <w:szCs w:val="20"/>
                <w:lang w:eastAsia="en-GB"/>
              </w:rPr>
            </w:pPr>
            <w:r w:rsidRPr="00817964">
              <w:rPr>
                <w:rFonts w:eastAsia="Times New Roman" w:cstheme="minorHAnsi"/>
                <w:b/>
                <w:bCs/>
                <w:color w:val="212721"/>
                <w:sz w:val="20"/>
                <w:szCs w:val="20"/>
                <w:lang w:eastAsia="en-GB"/>
              </w:rPr>
              <w:t>VSA Capital Limited – Financial Adviser and Broker</w:t>
            </w:r>
            <w:r w:rsidRPr="00817964">
              <w:rPr>
                <w:rFonts w:eastAsia="Times New Roman" w:cstheme="minorHAnsi"/>
                <w:color w:val="212721"/>
                <w:sz w:val="20"/>
                <w:szCs w:val="20"/>
                <w:lang w:eastAsia="en-GB"/>
              </w:rPr>
              <w:br/>
              <w:t>Andrew Raca</w:t>
            </w:r>
            <w:r w:rsidRPr="00817964">
              <w:rPr>
                <w:rFonts w:eastAsia="Times New Roman" w:cstheme="minorHAnsi"/>
                <w:color w:val="212721"/>
                <w:sz w:val="20"/>
                <w:szCs w:val="20"/>
                <w:lang w:eastAsia="en-GB"/>
              </w:rPr>
              <w:br/>
            </w:r>
            <w:r w:rsidRPr="00507454">
              <w:rPr>
                <w:rFonts w:eastAsia="Times New Roman" w:cstheme="minorHAnsi"/>
                <w:color w:val="212721"/>
                <w:sz w:val="20"/>
                <w:szCs w:val="20"/>
                <w:lang w:eastAsia="en-GB"/>
              </w:rPr>
              <w:t xml:space="preserve">Sean </w:t>
            </w:r>
            <w:r w:rsidR="00ED5D98">
              <w:rPr>
                <w:rFonts w:eastAsia="Times New Roman" w:cstheme="minorHAnsi"/>
                <w:color w:val="212721"/>
                <w:sz w:val="20"/>
                <w:szCs w:val="20"/>
                <w:lang w:eastAsia="en-GB"/>
              </w:rPr>
              <w:t>U</w:t>
            </w:r>
            <w:r w:rsidRPr="00507454">
              <w:rPr>
                <w:rFonts w:eastAsia="Times New Roman" w:cstheme="minorHAnsi"/>
                <w:color w:val="212721"/>
                <w:sz w:val="20"/>
                <w:szCs w:val="20"/>
                <w:lang w:eastAsia="en-GB"/>
              </w:rPr>
              <w:t>rquhart</w:t>
            </w:r>
          </w:p>
        </w:tc>
        <w:tc>
          <w:tcPr>
            <w:tcW w:w="0" w:type="auto"/>
            <w:hideMark/>
          </w:tcPr>
          <w:p w14:paraId="6D736059" w14:textId="125D107D" w:rsidR="00817964" w:rsidRPr="00817964" w:rsidRDefault="00817964" w:rsidP="00817964">
            <w:pPr>
              <w:spacing w:after="0" w:line="240" w:lineRule="auto"/>
              <w:rPr>
                <w:rFonts w:eastAsia="Times New Roman" w:cstheme="minorHAnsi"/>
                <w:color w:val="212721"/>
                <w:sz w:val="20"/>
                <w:szCs w:val="20"/>
                <w:lang w:eastAsia="en-GB"/>
              </w:rPr>
            </w:pPr>
            <w:r w:rsidRPr="00817964">
              <w:rPr>
                <w:rFonts w:eastAsia="Times New Roman" w:cstheme="minorHAnsi"/>
                <w:b/>
                <w:bCs/>
                <w:color w:val="212721"/>
                <w:sz w:val="20"/>
                <w:szCs w:val="20"/>
                <w:lang w:eastAsia="en-GB"/>
              </w:rPr>
              <w:t>+44 (0) 20 3005 500</w:t>
            </w:r>
            <w:r w:rsidR="006A595A">
              <w:rPr>
                <w:rFonts w:eastAsia="Times New Roman" w:cstheme="minorHAnsi"/>
                <w:b/>
                <w:bCs/>
                <w:color w:val="212721"/>
                <w:sz w:val="20"/>
                <w:szCs w:val="20"/>
                <w:lang w:eastAsia="en-GB"/>
              </w:rPr>
              <w:t>0</w:t>
            </w:r>
          </w:p>
        </w:tc>
      </w:tr>
    </w:tbl>
    <w:p w14:paraId="54805FF2" w14:textId="77777777" w:rsidR="00817964" w:rsidRPr="00507454" w:rsidRDefault="00817964" w:rsidP="00507454">
      <w:pPr>
        <w:rPr>
          <w:rFonts w:cstheme="minorHAnsi"/>
        </w:rPr>
      </w:pPr>
    </w:p>
    <w:sectPr w:rsidR="00817964" w:rsidRPr="005074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964"/>
    <w:rsid w:val="000B2F74"/>
    <w:rsid w:val="001A3CE0"/>
    <w:rsid w:val="00507454"/>
    <w:rsid w:val="00525E62"/>
    <w:rsid w:val="005D2ED5"/>
    <w:rsid w:val="006A595A"/>
    <w:rsid w:val="006C15D0"/>
    <w:rsid w:val="00800123"/>
    <w:rsid w:val="00817964"/>
    <w:rsid w:val="0088296D"/>
    <w:rsid w:val="008A2F67"/>
    <w:rsid w:val="00B25E58"/>
    <w:rsid w:val="00B26674"/>
    <w:rsid w:val="00BD4732"/>
    <w:rsid w:val="00BD554C"/>
    <w:rsid w:val="00D041E1"/>
    <w:rsid w:val="00E346E7"/>
    <w:rsid w:val="00E54532"/>
    <w:rsid w:val="00ED5D98"/>
    <w:rsid w:val="00ED7F0D"/>
    <w:rsid w:val="00F07B72"/>
    <w:rsid w:val="00F17CF7"/>
    <w:rsid w:val="00F3150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0D7D"/>
  <w15:chartTrackingRefBased/>
  <w15:docId w15:val="{BD49F04F-4A39-4E05-ABE2-48DB08BC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79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s">
    <w:name w:val="ds"/>
    <w:basedOn w:val="Normal"/>
    <w:rsid w:val="006C15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y">
    <w:name w:val="cy"/>
    <w:basedOn w:val="DefaultParagraphFont"/>
    <w:rsid w:val="006C15D0"/>
  </w:style>
  <w:style w:type="paragraph" w:styleId="BalloonText">
    <w:name w:val="Balloon Text"/>
    <w:basedOn w:val="Normal"/>
    <w:link w:val="BalloonTextChar"/>
    <w:uiPriority w:val="99"/>
    <w:semiHidden/>
    <w:unhideWhenUsed/>
    <w:rsid w:val="00E54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5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47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902789B5150544B9D3430E3AB56A54" ma:contentTypeVersion="12" ma:contentTypeDescription="Create a new document." ma:contentTypeScope="" ma:versionID="7e0d006146607c5b01c0148eadb79dc7">
  <xsd:schema xmlns:xsd="http://www.w3.org/2001/XMLSchema" xmlns:xs="http://www.w3.org/2001/XMLSchema" xmlns:p="http://schemas.microsoft.com/office/2006/metadata/properties" xmlns:ns2="9eaf5c2d-4127-48ef-b34b-d204a0b13635" xmlns:ns3="cde02c00-95f3-43a1-a8e3-c976a5c03504" targetNamespace="http://schemas.microsoft.com/office/2006/metadata/properties" ma:root="true" ma:fieldsID="ea6b14b2ff9fa2b3967650f5e3d8c65c" ns2:_="" ns3:_="">
    <xsd:import namespace="9eaf5c2d-4127-48ef-b34b-d204a0b13635"/>
    <xsd:import namespace="cde02c00-95f3-43a1-a8e3-c976a5c035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5c2d-4127-48ef-b34b-d204a0b13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e02c00-95f3-43a1-a8e3-c976a5c035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B2538C-F6BD-4643-A686-6B7665015A02}">
  <ds:schemaRefs>
    <ds:schemaRef ds:uri="http://schemas.microsoft.com/office/2006/documentManagement/types"/>
    <ds:schemaRef ds:uri="http://schemas.microsoft.com/office/infopath/2007/PartnerControls"/>
    <ds:schemaRef ds:uri="cde02c00-95f3-43a1-a8e3-c976a5c03504"/>
    <ds:schemaRef ds:uri="http://purl.org/dc/elements/1.1/"/>
    <ds:schemaRef ds:uri="http://schemas.microsoft.com/office/2006/metadata/properties"/>
    <ds:schemaRef ds:uri="http://purl.org/dc/terms/"/>
    <ds:schemaRef ds:uri="http://schemas.openxmlformats.org/package/2006/metadata/core-properties"/>
    <ds:schemaRef ds:uri="9eaf5c2d-4127-48ef-b34b-d204a0b13635"/>
    <ds:schemaRef ds:uri="http://www.w3.org/XML/1998/namespace"/>
    <ds:schemaRef ds:uri="http://purl.org/dc/dcmitype/"/>
  </ds:schemaRefs>
</ds:datastoreItem>
</file>

<file path=customXml/itemProps2.xml><?xml version="1.0" encoding="utf-8"?>
<ds:datastoreItem xmlns:ds="http://schemas.openxmlformats.org/officeDocument/2006/customXml" ds:itemID="{631C0E4E-D8F2-4D65-AEE5-2B7910B8A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5c2d-4127-48ef-b34b-d204a0b13635"/>
    <ds:schemaRef ds:uri="cde02c00-95f3-43a1-a8e3-c976a5c03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6E38C6-46F6-4DBE-AA4E-B50780AAEE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Urquhart</dc:creator>
  <cp:keywords/>
  <dc:description/>
  <cp:lastModifiedBy>Andrew Raca</cp:lastModifiedBy>
  <cp:revision>3</cp:revision>
  <dcterms:created xsi:type="dcterms:W3CDTF">2020-03-03T15:55:00Z</dcterms:created>
  <dcterms:modified xsi:type="dcterms:W3CDTF">2020-03-03T15:56:00Z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0x0101004F902789B5150544B9D3430E3AB56A54</vt:lpwstr>
  </property>
</Properties>
</file>